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18" w:rsidRPr="002F7862" w:rsidRDefault="00823518" w:rsidP="00823518">
      <w:pPr>
        <w:spacing w:line="240" w:lineRule="auto"/>
        <w:jc w:val="center"/>
        <w:rPr>
          <w:lang w:val="en-GB"/>
        </w:rPr>
      </w:pPr>
      <w:r w:rsidRPr="002F7862">
        <w:rPr>
          <w:sz w:val="20"/>
          <w:lang w:val="en-GB"/>
        </w:rPr>
        <w:object w:dxaOrig="372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60pt" o:ole="">
            <v:imagedata r:id="rId8" o:title=""/>
            <o:lock v:ext="edit" aspectratio="f"/>
          </v:shape>
          <o:OLEObject Type="Embed" ProgID="MSDraw" ShapeID="_x0000_i1025" DrawAspect="Content" ObjectID="_1706106517" r:id="rId9"/>
        </w:object>
      </w:r>
    </w:p>
    <w:p w:rsidR="002F7862" w:rsidRPr="002F7862" w:rsidRDefault="002F7862" w:rsidP="00DD5E41">
      <w:pPr>
        <w:spacing w:after="0"/>
        <w:jc w:val="center"/>
        <w:rPr>
          <w:rFonts w:asciiTheme="majorHAnsi" w:hAnsiTheme="majorHAnsi"/>
          <w:sz w:val="28"/>
          <w:lang w:val="en-GB"/>
        </w:rPr>
      </w:pPr>
      <w:r w:rsidRPr="002F7862">
        <w:rPr>
          <w:rFonts w:asciiTheme="majorHAnsi" w:hAnsiTheme="majorHAnsi"/>
          <w:sz w:val="28"/>
          <w:lang w:val="en-GB"/>
        </w:rPr>
        <w:t>Budapest University of Technology and Economics</w:t>
      </w:r>
    </w:p>
    <w:p w:rsidR="00823518" w:rsidRPr="002F7862" w:rsidRDefault="002F7862" w:rsidP="00DD5E41">
      <w:pPr>
        <w:spacing w:after="0"/>
        <w:jc w:val="center"/>
        <w:rPr>
          <w:rFonts w:asciiTheme="majorHAnsi" w:hAnsiTheme="majorHAnsi"/>
          <w:sz w:val="28"/>
          <w:lang w:val="en-GB"/>
        </w:rPr>
      </w:pPr>
      <w:r w:rsidRPr="002F7862">
        <w:rPr>
          <w:rFonts w:asciiTheme="majorHAnsi" w:hAnsiTheme="majorHAnsi"/>
          <w:sz w:val="28"/>
          <w:lang w:val="en-GB"/>
        </w:rPr>
        <w:t>Faculty of Transportation Engineering and Vehicle Engineering</w:t>
      </w:r>
    </w:p>
    <w:p w:rsidR="00823518" w:rsidRPr="002F7862" w:rsidRDefault="002F7862" w:rsidP="00DD5E41">
      <w:pPr>
        <w:spacing w:after="0"/>
        <w:jc w:val="center"/>
        <w:rPr>
          <w:rFonts w:asciiTheme="majorHAnsi" w:hAnsiTheme="majorHAnsi"/>
          <w:b/>
          <w:sz w:val="28"/>
          <w:lang w:val="en-GB"/>
        </w:rPr>
      </w:pPr>
      <w:r w:rsidRPr="002F7862">
        <w:rPr>
          <w:rFonts w:asciiTheme="majorHAnsi" w:hAnsiTheme="majorHAnsi"/>
          <w:b/>
          <w:sz w:val="28"/>
          <w:lang w:val="en-GB"/>
        </w:rPr>
        <w:t>Department of Transport Technology and Economics</w:t>
      </w:r>
    </w:p>
    <w:p w:rsidR="00823518" w:rsidRPr="002F7862" w:rsidRDefault="002F7862" w:rsidP="00823518">
      <w:pPr>
        <w:spacing w:before="2880" w:line="240" w:lineRule="auto"/>
        <w:jc w:val="center"/>
        <w:rPr>
          <w:rFonts w:asciiTheme="majorHAnsi" w:hAnsiTheme="majorHAnsi"/>
          <w:b/>
          <w:caps/>
          <w:spacing w:val="60"/>
          <w:sz w:val="44"/>
          <w:lang w:val="en-GB"/>
        </w:rPr>
      </w:pPr>
      <w:r>
        <w:rPr>
          <w:rFonts w:asciiTheme="majorHAnsi" w:hAnsiTheme="majorHAnsi"/>
          <w:b/>
          <w:caps/>
          <w:spacing w:val="60"/>
          <w:sz w:val="48"/>
          <w:lang w:val="en-GB"/>
        </w:rPr>
        <w:t>Master’s Thesis</w:t>
      </w:r>
      <w:bookmarkStart w:id="0" w:name="_GoBack"/>
      <w:bookmarkEnd w:id="0"/>
    </w:p>
    <w:p w:rsidR="008E1C8B" w:rsidRDefault="002F7862" w:rsidP="008E1C8B">
      <w:pPr>
        <w:spacing w:before="720" w:line="240" w:lineRule="auto"/>
        <w:jc w:val="center"/>
        <w:rPr>
          <w:rFonts w:asciiTheme="majorHAnsi" w:hAnsiTheme="majorHAnsi"/>
          <w:b/>
          <w:spacing w:val="20"/>
          <w:sz w:val="32"/>
          <w:szCs w:val="36"/>
          <w:lang w:val="en-GB"/>
        </w:rPr>
      </w:pPr>
      <w:r>
        <w:rPr>
          <w:rFonts w:asciiTheme="majorHAnsi" w:hAnsiTheme="majorHAnsi"/>
          <w:b/>
          <w:spacing w:val="20"/>
          <w:sz w:val="32"/>
          <w:szCs w:val="36"/>
          <w:lang w:val="en-GB"/>
        </w:rPr>
        <w:t>Title of Thesis</w:t>
      </w:r>
    </w:p>
    <w:p w:rsidR="008E1C8B" w:rsidRPr="008E1C8B" w:rsidRDefault="008E1C8B" w:rsidP="008E1C8B">
      <w:pPr>
        <w:spacing w:before="2880" w:line="240" w:lineRule="auto"/>
        <w:jc w:val="center"/>
        <w:rPr>
          <w:rFonts w:asciiTheme="majorHAnsi" w:hAnsiTheme="majorHAnsi"/>
          <w:spacing w:val="20"/>
          <w:sz w:val="32"/>
          <w:szCs w:val="36"/>
          <w:lang w:val="en-GB"/>
        </w:rPr>
      </w:pPr>
      <w:r>
        <w:rPr>
          <w:rFonts w:asciiTheme="majorHAnsi" w:hAnsiTheme="majorHAnsi"/>
          <w:spacing w:val="20"/>
          <w:sz w:val="32"/>
          <w:szCs w:val="36"/>
          <w:lang w:val="en-GB"/>
        </w:rPr>
        <w:t>Author</w:t>
      </w:r>
      <w:r w:rsidRPr="008E1C8B">
        <w:rPr>
          <w:rFonts w:asciiTheme="majorHAnsi" w:hAnsiTheme="majorHAnsi"/>
          <w:spacing w:val="20"/>
          <w:sz w:val="32"/>
          <w:szCs w:val="36"/>
          <w:lang w:val="en-GB"/>
        </w:rPr>
        <w:t xml:space="preserve">: </w:t>
      </w:r>
    </w:p>
    <w:p w:rsidR="008E1C8B" w:rsidRPr="008E1C8B" w:rsidRDefault="008E1C8B" w:rsidP="008E1C8B">
      <w:pPr>
        <w:spacing w:before="240" w:line="240" w:lineRule="auto"/>
        <w:jc w:val="center"/>
        <w:rPr>
          <w:rFonts w:asciiTheme="majorHAnsi" w:hAnsiTheme="majorHAnsi"/>
          <w:b/>
          <w:spacing w:val="20"/>
          <w:sz w:val="32"/>
          <w:szCs w:val="36"/>
          <w:lang w:val="en-GB"/>
        </w:rPr>
      </w:pPr>
      <w:r w:rsidRPr="008E1C8B">
        <w:rPr>
          <w:rFonts w:asciiTheme="majorHAnsi" w:hAnsiTheme="majorHAnsi"/>
          <w:b/>
          <w:spacing w:val="20"/>
          <w:sz w:val="32"/>
          <w:szCs w:val="36"/>
          <w:lang w:val="en-GB"/>
        </w:rPr>
        <w:t>Name of Student</w:t>
      </w:r>
    </w:p>
    <w:p w:rsidR="008E1C8B" w:rsidRPr="008E1C8B" w:rsidRDefault="008E1C8B" w:rsidP="008E1C8B">
      <w:pPr>
        <w:spacing w:before="720" w:line="240" w:lineRule="auto"/>
        <w:jc w:val="center"/>
        <w:rPr>
          <w:rFonts w:asciiTheme="majorHAnsi" w:hAnsiTheme="majorHAnsi"/>
          <w:b/>
          <w:spacing w:val="20"/>
          <w:sz w:val="40"/>
          <w:szCs w:val="36"/>
          <w:lang w:val="en-GB"/>
        </w:rPr>
      </w:pPr>
      <w:r w:rsidRPr="008E1C8B">
        <w:rPr>
          <w:rFonts w:asciiTheme="majorHAnsi" w:hAnsiTheme="majorHAnsi"/>
          <w:b/>
          <w:spacing w:val="20"/>
          <w:sz w:val="40"/>
          <w:szCs w:val="36"/>
          <w:lang w:val="en-GB"/>
        </w:rPr>
        <w:t>202</w:t>
      </w:r>
      <w:r w:rsidR="00A712D7">
        <w:rPr>
          <w:rFonts w:asciiTheme="majorHAnsi" w:hAnsiTheme="majorHAnsi"/>
          <w:b/>
          <w:spacing w:val="20"/>
          <w:sz w:val="40"/>
          <w:szCs w:val="36"/>
          <w:lang w:val="en-GB"/>
        </w:rPr>
        <w:t>2</w:t>
      </w:r>
    </w:p>
    <w:p w:rsidR="007A7901" w:rsidRPr="008E1C8B" w:rsidRDefault="007A7901" w:rsidP="008E1C8B">
      <w:pPr>
        <w:spacing w:before="720" w:line="240" w:lineRule="auto"/>
        <w:rPr>
          <w:b/>
          <w:spacing w:val="60"/>
          <w:sz w:val="32"/>
          <w:szCs w:val="36"/>
          <w:lang w:val="en-GB"/>
        </w:rPr>
      </w:pPr>
      <w:r w:rsidRPr="008E1C8B">
        <w:rPr>
          <w:noProof/>
          <w:lang w:val="en-GB"/>
        </w:rPr>
        <w:t xml:space="preserve"> </w:t>
      </w:r>
    </w:p>
    <w:p w:rsidR="007A7901" w:rsidRPr="008E1C8B" w:rsidRDefault="007A7901" w:rsidP="00823518">
      <w:pPr>
        <w:spacing w:line="240" w:lineRule="auto"/>
        <w:rPr>
          <w:lang w:val="en-GB"/>
        </w:rPr>
      </w:pPr>
    </w:p>
    <w:p w:rsidR="00E7702B" w:rsidRPr="002F7862" w:rsidRDefault="00E7702B" w:rsidP="00823518">
      <w:pPr>
        <w:spacing w:line="240" w:lineRule="auto"/>
        <w:rPr>
          <w:lang w:val="en-GB"/>
        </w:rPr>
      </w:pPr>
    </w:p>
    <w:p w:rsidR="00D2271E" w:rsidRPr="002F7862" w:rsidRDefault="00D2271E" w:rsidP="00290A2C">
      <w:pPr>
        <w:jc w:val="center"/>
        <w:rPr>
          <w:lang w:val="en-GB"/>
        </w:rPr>
      </w:pPr>
    </w:p>
    <w:p w:rsidR="00B6071F" w:rsidRPr="002F7862" w:rsidRDefault="00B6071F" w:rsidP="00290A2C">
      <w:pPr>
        <w:rPr>
          <w:lang w:val="en-GB"/>
        </w:rPr>
        <w:sectPr w:rsidR="00B6071F" w:rsidRPr="002F786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</w:p>
    <w:p w:rsidR="001937EF" w:rsidRPr="002F7862" w:rsidRDefault="002F7862" w:rsidP="001937EF">
      <w:pPr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lastRenderedPageBreak/>
        <w:t>Contents (generated automatically)</w:t>
      </w:r>
    </w:p>
    <w:p w:rsidR="00AE5C4A" w:rsidRPr="002F7862" w:rsidRDefault="002F7862" w:rsidP="00AE5C4A">
      <w:pPr>
        <w:rPr>
          <w:i/>
          <w:color w:val="FF0000"/>
          <w:lang w:val="en-GB"/>
        </w:rPr>
        <w:sectPr w:rsidR="00AE5C4A" w:rsidRPr="002F7862" w:rsidSect="00A31416">
          <w:pgSz w:w="11906" w:h="16838"/>
          <w:pgMar w:top="1418" w:right="1418" w:bottom="1418" w:left="1418" w:header="709" w:footer="709" w:gutter="567"/>
          <w:pgNumType w:fmt="upperRoman"/>
          <w:cols w:space="708"/>
          <w:docGrid w:linePitch="360"/>
        </w:sectPr>
      </w:pPr>
      <w:r>
        <w:rPr>
          <w:i/>
          <w:color w:val="FF0000"/>
          <w:lang w:val="en-GB"/>
        </w:rPr>
        <w:t>page break</w:t>
      </w:r>
    </w:p>
    <w:p w:rsidR="001937EF" w:rsidRPr="002F7862" w:rsidRDefault="002F7862" w:rsidP="003A6832">
      <w:pPr>
        <w:pStyle w:val="Cmsor1"/>
        <w:numPr>
          <w:ilvl w:val="0"/>
          <w:numId w:val="26"/>
        </w:numPr>
        <w:rPr>
          <w:lang w:val="en-GB"/>
        </w:rPr>
      </w:pPr>
      <w:r>
        <w:rPr>
          <w:lang w:val="en-GB"/>
        </w:rPr>
        <w:lastRenderedPageBreak/>
        <w:t>Introduction</w:t>
      </w:r>
      <w:r w:rsidR="00B6071F" w:rsidRPr="002F7862">
        <w:rPr>
          <w:lang w:val="en-GB"/>
        </w:rPr>
        <w:t xml:space="preserve"> 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(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Heading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 1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 style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 xml:space="preserve">size 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16</w:t>
      </w:r>
      <w:r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, bold</w:t>
      </w:r>
      <w:r w:rsidR="00B6071F" w:rsidRPr="002F7862">
        <w:rPr>
          <w:rFonts w:ascii="Times New Roman" w:hAnsi="Times New Roman" w:cs="Times New Roman"/>
          <w:b w:val="0"/>
          <w:i/>
          <w:color w:val="FF0000"/>
          <w:sz w:val="24"/>
          <w:lang w:val="en-GB"/>
        </w:rPr>
        <w:t>)</w:t>
      </w:r>
    </w:p>
    <w:p w:rsidR="002F7862" w:rsidRDefault="00987712" w:rsidP="00037D3C">
      <w:pPr>
        <w:rPr>
          <w:lang w:val="en-GB"/>
        </w:rPr>
      </w:pPr>
      <w:r>
        <w:rPr>
          <w:lang w:val="en-GB"/>
        </w:rPr>
        <w:t>This document contains the format specifications</w:t>
      </w:r>
      <w:r w:rsidR="002F7862">
        <w:rPr>
          <w:lang w:val="en-GB"/>
        </w:rPr>
        <w:t xml:space="preserve"> for thesis works written at the Department.</w:t>
      </w:r>
      <w:r>
        <w:rPr>
          <w:lang w:val="en-GB"/>
        </w:rPr>
        <w:t xml:space="preserve"> It is edited according to the expected specifications, so it </w:t>
      </w:r>
      <w:r w:rsidRPr="00DD5E41">
        <w:rPr>
          <w:b/>
          <w:lang w:val="en-GB"/>
        </w:rPr>
        <w:t>can be used as a template</w:t>
      </w:r>
      <w:r>
        <w:rPr>
          <w:lang w:val="en-GB"/>
        </w:rPr>
        <w:t>.</w:t>
      </w:r>
    </w:p>
    <w:p w:rsidR="002F7862" w:rsidRDefault="002F7862" w:rsidP="00037D3C">
      <w:pPr>
        <w:rPr>
          <w:lang w:val="en-GB"/>
        </w:rPr>
      </w:pPr>
      <w:r>
        <w:rPr>
          <w:lang w:val="en-GB"/>
        </w:rPr>
        <w:t xml:space="preserve">Page settings: </w:t>
      </w:r>
      <w:r w:rsidR="00CF01DD">
        <w:rPr>
          <w:lang w:val="en-GB"/>
        </w:rPr>
        <w:t xml:space="preserve">A4 size, </w:t>
      </w:r>
      <w:r>
        <w:rPr>
          <w:lang w:val="en-GB"/>
        </w:rPr>
        <w:t>all margins 25 mm</w:t>
      </w:r>
      <w:r w:rsidR="00CF01DD">
        <w:rPr>
          <w:lang w:val="en-GB"/>
        </w:rPr>
        <w:t>, with 10 mm gutter (if text is printed on one side, gutter is on the left, if it is printed on both side, gutter alternates).</w:t>
      </w:r>
      <w:r w:rsidR="009572AF">
        <w:rPr>
          <w:lang w:val="en-GB"/>
        </w:rPr>
        <w:t xml:space="preserve"> Page numbers are in the middle of </w:t>
      </w:r>
      <w:r w:rsidR="009A632E">
        <w:rPr>
          <w:lang w:val="en-GB"/>
        </w:rPr>
        <w:t>the footer (bottom), and start from contents.</w:t>
      </w:r>
    </w:p>
    <w:p w:rsidR="009572AF" w:rsidRDefault="00523959" w:rsidP="00037D3C">
      <w:pPr>
        <w:rPr>
          <w:lang w:val="en-GB"/>
        </w:rPr>
      </w:pPr>
      <w:r>
        <w:rPr>
          <w:lang w:val="en-GB"/>
        </w:rPr>
        <w:t>Body text’s font size is 12 pt</w:t>
      </w:r>
      <w:r w:rsidR="003D58F3">
        <w:rPr>
          <w:lang w:val="en-GB"/>
        </w:rPr>
        <w:t>s</w:t>
      </w:r>
      <w:r>
        <w:rPr>
          <w:lang w:val="en-GB"/>
        </w:rPr>
        <w:t>, with 1.15…</w:t>
      </w:r>
      <w:proofErr w:type="gramStart"/>
      <w:r>
        <w:rPr>
          <w:lang w:val="en-GB"/>
        </w:rPr>
        <w:t>1.5 line</w:t>
      </w:r>
      <w:proofErr w:type="gramEnd"/>
      <w:r>
        <w:rPr>
          <w:lang w:val="en-GB"/>
        </w:rPr>
        <w:t xml:space="preserve"> space and 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paragraph space (after the paragraph). </w:t>
      </w:r>
      <w:r w:rsidR="009572AF">
        <w:rPr>
          <w:lang w:val="en-GB"/>
        </w:rPr>
        <w:t xml:space="preserve">Spell-check is advised. </w:t>
      </w:r>
    </w:p>
    <w:p w:rsidR="00DD5E41" w:rsidRDefault="00872C92" w:rsidP="00037D3C">
      <w:pPr>
        <w:rPr>
          <w:lang w:val="en-GB"/>
        </w:rPr>
      </w:pPr>
      <w:r>
        <w:rPr>
          <w:lang w:val="en-GB"/>
        </w:rPr>
        <w:t>Titles are in “Heading” style (for main titles Heading 1, 2</w:t>
      </w:r>
      <w:r w:rsidRPr="00872C92">
        <w:rPr>
          <w:vertAlign w:val="superscript"/>
          <w:lang w:val="en-GB"/>
        </w:rPr>
        <w:t>nd</w:t>
      </w:r>
      <w:r>
        <w:rPr>
          <w:lang w:val="en-GB"/>
        </w:rPr>
        <w:t xml:space="preserve"> level titles Heading 2 and so on)</w:t>
      </w:r>
      <w:r w:rsidR="009572AF">
        <w:rPr>
          <w:lang w:val="en-GB"/>
        </w:rPr>
        <w:t xml:space="preserve"> and they are numbered in decimal format</w:t>
      </w:r>
      <w:r>
        <w:rPr>
          <w:lang w:val="en-GB"/>
        </w:rPr>
        <w:t xml:space="preserve">. </w:t>
      </w:r>
      <w:r w:rsidR="009A632E">
        <w:rPr>
          <w:lang w:val="en-GB"/>
        </w:rPr>
        <w:t>(If styles are set correctly, contents can be generated automatically.) F</w:t>
      </w:r>
      <w:r>
        <w:rPr>
          <w:lang w:val="en-GB"/>
        </w:rPr>
        <w:t>ont</w:t>
      </w:r>
      <w:r w:rsidR="003D58F3">
        <w:rPr>
          <w:lang w:val="en-GB"/>
        </w:rPr>
        <w:t xml:space="preserve"> </w:t>
      </w:r>
      <w:r>
        <w:rPr>
          <w:lang w:val="en-GB"/>
        </w:rPr>
        <w:t>of titles can differ from body</w:t>
      </w:r>
      <w:r w:rsidR="009A632E">
        <w:rPr>
          <w:lang w:val="en-GB"/>
        </w:rPr>
        <w:t xml:space="preserve"> text</w:t>
      </w:r>
      <w:r>
        <w:rPr>
          <w:lang w:val="en-GB"/>
        </w:rPr>
        <w:t xml:space="preserve">, </w:t>
      </w:r>
      <w:r w:rsidR="003D58F3">
        <w:rPr>
          <w:lang w:val="en-GB"/>
        </w:rPr>
        <w:t>size is</w:t>
      </w:r>
      <w:r w:rsidR="00523959">
        <w:rPr>
          <w:lang w:val="en-GB"/>
        </w:rPr>
        <w:t xml:space="preserve"> 16 pt</w:t>
      </w:r>
      <w:r w:rsidR="003D58F3">
        <w:rPr>
          <w:lang w:val="en-GB"/>
        </w:rPr>
        <w:t>s</w:t>
      </w:r>
      <w:r>
        <w:rPr>
          <w:lang w:val="en-GB"/>
        </w:rPr>
        <w:t xml:space="preserve"> for main level, 14 pt</w:t>
      </w:r>
      <w:r w:rsidR="00D70C29">
        <w:rPr>
          <w:lang w:val="en-GB"/>
        </w:rPr>
        <w:t>s</w:t>
      </w:r>
      <w:r>
        <w:rPr>
          <w:lang w:val="en-GB"/>
        </w:rPr>
        <w:t xml:space="preserve"> for 2</w:t>
      </w:r>
      <w:r w:rsidRPr="00872C92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 w:rsidR="009572AF">
        <w:rPr>
          <w:lang w:val="en-GB"/>
        </w:rPr>
        <w:t>and 3</w:t>
      </w:r>
      <w:r w:rsidR="009572AF" w:rsidRPr="009572AF">
        <w:rPr>
          <w:vertAlign w:val="superscript"/>
          <w:lang w:val="en-GB"/>
        </w:rPr>
        <w:t>rd</w:t>
      </w:r>
      <w:r w:rsidR="009572AF">
        <w:rPr>
          <w:lang w:val="en-GB"/>
        </w:rPr>
        <w:t xml:space="preserve"> </w:t>
      </w:r>
      <w:r>
        <w:rPr>
          <w:lang w:val="en-GB"/>
        </w:rPr>
        <w:t xml:space="preserve">level </w:t>
      </w:r>
      <w:r w:rsidR="009572AF">
        <w:rPr>
          <w:lang w:val="en-GB"/>
        </w:rPr>
        <w:t>titles.</w:t>
      </w:r>
      <w:r w:rsidR="003D58F3">
        <w:rPr>
          <w:lang w:val="en-GB"/>
        </w:rPr>
        <w:t xml:space="preserve"> </w:t>
      </w:r>
      <w:r w:rsidR="009572AF">
        <w:rPr>
          <w:lang w:val="en-GB"/>
        </w:rPr>
        <w:t>Before and after all titles, there are 12 pt</w:t>
      </w:r>
      <w:r w:rsidR="00D70C29">
        <w:rPr>
          <w:lang w:val="en-GB"/>
        </w:rPr>
        <w:t>s</w:t>
      </w:r>
      <w:r w:rsidR="009572AF">
        <w:rPr>
          <w:lang w:val="en-GB"/>
        </w:rPr>
        <w:t xml:space="preserve"> paragraph spaces</w:t>
      </w:r>
      <w:r w:rsidR="00DD5E41">
        <w:rPr>
          <w:lang w:val="en-GB"/>
        </w:rPr>
        <w:t xml:space="preserve"> (except for level 1, where space is only after the title)</w:t>
      </w:r>
      <w:r w:rsidR="009572AF">
        <w:rPr>
          <w:lang w:val="en-GB"/>
        </w:rPr>
        <w:t>.</w:t>
      </w:r>
      <w:r w:rsidR="00DD5E41">
        <w:rPr>
          <w:lang w:val="en-GB"/>
        </w:rPr>
        <w:t xml:space="preserve"> </w:t>
      </w:r>
    </w:p>
    <w:p w:rsidR="00523959" w:rsidRDefault="009572AF" w:rsidP="00037D3C">
      <w:pPr>
        <w:rPr>
          <w:lang w:val="en-GB"/>
        </w:rPr>
      </w:pPr>
      <w:r>
        <w:rPr>
          <w:lang w:val="en-GB"/>
        </w:rPr>
        <w:t xml:space="preserve">More than 3 title levels are not advised; if lower subtitles are used anyway, they are not numbered (and not referenced in contents). Main chapters </w:t>
      </w:r>
      <w:r w:rsidR="009A632E">
        <w:rPr>
          <w:lang w:val="en-GB"/>
        </w:rPr>
        <w:t xml:space="preserve">should </w:t>
      </w:r>
      <w:r>
        <w:rPr>
          <w:lang w:val="en-GB"/>
        </w:rPr>
        <w:t xml:space="preserve">start on </w:t>
      </w:r>
      <w:r w:rsidR="00DD5E41">
        <w:rPr>
          <w:lang w:val="en-GB"/>
        </w:rPr>
        <w:t xml:space="preserve">a </w:t>
      </w:r>
      <w:r>
        <w:rPr>
          <w:lang w:val="en-GB"/>
        </w:rPr>
        <w:t>new page</w:t>
      </w:r>
      <w:r w:rsidR="00DD5E41">
        <w:rPr>
          <w:lang w:val="en-GB"/>
        </w:rPr>
        <w:t xml:space="preserve"> </w:t>
      </w:r>
      <w:r w:rsidR="00DD5E41">
        <w:rPr>
          <w:lang w:val="en-GB"/>
        </w:rPr>
        <w:t>(but too large –</w:t>
      </w:r>
      <w:r w:rsidR="00DD5E41">
        <w:rPr>
          <w:lang w:val="en-GB"/>
        </w:rPr>
        <w:t xml:space="preserve"> ¾ </w:t>
      </w:r>
      <w:r w:rsidR="00DD5E41">
        <w:rPr>
          <w:lang w:val="en-GB"/>
        </w:rPr>
        <w:t>page or more – empty spaces on the previous page should be avoided)</w:t>
      </w:r>
      <w:r>
        <w:rPr>
          <w:lang w:val="en-GB"/>
        </w:rPr>
        <w:t>.</w:t>
      </w:r>
    </w:p>
    <w:p w:rsidR="00E975BE" w:rsidRPr="00D70C29" w:rsidRDefault="009A632E" w:rsidP="002D43D5">
      <w:pPr>
        <w:pStyle w:val="Cmsor2"/>
        <w:rPr>
          <w:lang w:val="en-GB"/>
        </w:rPr>
      </w:pPr>
      <w:r w:rsidRPr="00D70C29">
        <w:rPr>
          <w:lang w:val="en-GB"/>
        </w:rPr>
        <w:t>Figures</w:t>
      </w:r>
      <w:r w:rsidR="00E7624F" w:rsidRPr="00D70C29">
        <w:rPr>
          <w:lang w:val="en-GB"/>
        </w:rPr>
        <w:t xml:space="preserve"> </w:t>
      </w:r>
      <w:r w:rsidR="00E7624F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(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Heading </w:t>
      </w:r>
      <w:r w:rsidR="00E7624F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2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 style</w:t>
      </w:r>
      <w:r w:rsidR="000E746A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, 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 xml:space="preserve">size </w:t>
      </w:r>
      <w:r w:rsidR="000E746A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14</w:t>
      </w:r>
      <w:r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, bold, italics</w:t>
      </w:r>
      <w:r w:rsidR="000E746A" w:rsidRPr="00D70C29">
        <w:rPr>
          <w:rFonts w:ascii="Times New Roman" w:hAnsi="Times New Roman" w:cs="Times New Roman"/>
          <w:b w:val="0"/>
          <w:iCs w:val="0"/>
          <w:color w:val="FF0000"/>
          <w:kern w:val="32"/>
          <w:sz w:val="24"/>
          <w:szCs w:val="32"/>
          <w:lang w:val="en-GB"/>
        </w:rPr>
        <w:t>)</w:t>
      </w:r>
    </w:p>
    <w:p w:rsidR="002D43D5" w:rsidRDefault="002D43D5" w:rsidP="002D43D5">
      <w:pPr>
        <w:rPr>
          <w:lang w:val="en-GB"/>
        </w:rPr>
      </w:pPr>
      <w:r w:rsidRPr="009A632E">
        <w:rPr>
          <w:lang w:val="en-GB"/>
        </w:rPr>
        <w:t>Figures and charts in the text should not be larger than 1 or 2 pages</w:t>
      </w:r>
      <w:r>
        <w:rPr>
          <w:lang w:val="en-GB"/>
        </w:rPr>
        <w:t xml:space="preserve">, </w:t>
      </w:r>
      <w:r w:rsidRPr="009A632E">
        <w:rPr>
          <w:lang w:val="en-GB"/>
        </w:rPr>
        <w:t>more extensive on</w:t>
      </w:r>
      <w:r>
        <w:rPr>
          <w:lang w:val="en-GB"/>
        </w:rPr>
        <w:t>es should be placed in appendix</w:t>
      </w:r>
      <w:r w:rsidRPr="009A632E">
        <w:rPr>
          <w:lang w:val="en-GB"/>
        </w:rPr>
        <w:t>.</w:t>
      </w:r>
      <w:r>
        <w:rPr>
          <w:lang w:val="en-GB"/>
        </w:rPr>
        <w:t xml:space="preserve"> All figures have decimal numbering and caption under them (aligned to the middle). External references can be signed with numbers (e.g. </w:t>
      </w:r>
      <w:r w:rsidRPr="002F7862">
        <w:rPr>
          <w:lang w:val="en-GB"/>
        </w:rPr>
        <w:fldChar w:fldCharType="begin"/>
      </w:r>
      <w:r w:rsidRPr="002F7862">
        <w:rPr>
          <w:lang w:val="en-GB"/>
        </w:rPr>
        <w:instrText xml:space="preserve"> REF _Ref381196825 \r \h </w:instrText>
      </w:r>
      <w:r>
        <w:rPr>
          <w:lang w:val="en-GB"/>
        </w:rPr>
        <w:instrText xml:space="preserve"> \* MERGEFORMAT </w:instrText>
      </w:r>
      <w:r w:rsidRPr="002F7862">
        <w:rPr>
          <w:lang w:val="en-GB"/>
        </w:rPr>
      </w:r>
      <w:r w:rsidRPr="002F7862">
        <w:rPr>
          <w:lang w:val="en-GB"/>
        </w:rPr>
        <w:fldChar w:fldCharType="separate"/>
      </w:r>
      <w:r w:rsidRPr="002F7862">
        <w:rPr>
          <w:lang w:val="en-GB"/>
        </w:rPr>
        <w:t>[3]</w:t>
      </w:r>
      <w:r w:rsidRPr="002F7862">
        <w:rPr>
          <w:lang w:val="en-GB"/>
        </w:rPr>
        <w:fldChar w:fldCharType="end"/>
      </w:r>
      <w:r>
        <w:rPr>
          <w:lang w:val="en-GB"/>
        </w:rPr>
        <w:t xml:space="preserve">) or with full reference (web addresses should be in the same line if </w:t>
      </w:r>
      <w:r w:rsidR="00DD7A44">
        <w:rPr>
          <w:lang w:val="en-GB"/>
        </w:rPr>
        <w:t>possible</w:t>
      </w:r>
      <w:r>
        <w:rPr>
          <w:lang w:val="en-GB"/>
        </w:rPr>
        <w:t>, without break). Self-edited figures do not have to be referenced.</w:t>
      </w:r>
    </w:p>
    <w:p w:rsidR="002D43D5" w:rsidRDefault="002D43D5" w:rsidP="002D43D5">
      <w:pPr>
        <w:spacing w:before="240"/>
        <w:jc w:val="center"/>
        <w:rPr>
          <w:lang w:val="en-GB"/>
        </w:rPr>
      </w:pPr>
      <w:r w:rsidRPr="002F7862">
        <w:rPr>
          <w:noProof/>
          <w:lang w:eastAsia="zh-CN"/>
        </w:rPr>
        <w:drawing>
          <wp:inline distT="0" distB="0" distL="0" distR="0" wp14:anchorId="60C9D8C8" wp14:editId="3A8E58F5">
            <wp:extent cx="3124200" cy="2341288"/>
            <wp:effectExtent l="0" t="0" r="0" b="1905"/>
            <wp:docPr id="2" name="Kép 2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37" cy="23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D5" w:rsidRDefault="002D43D5" w:rsidP="002D43D5">
      <w:pPr>
        <w:pStyle w:val="Kpalrs"/>
        <w:spacing w:after="0"/>
        <w:jc w:val="center"/>
        <w:rPr>
          <w:lang w:val="en-GB"/>
        </w:rPr>
      </w:pPr>
      <w:bookmarkStart w:id="1" w:name="_Ref505950843"/>
      <w:r w:rsidRPr="00CC5C2D">
        <w:rPr>
          <w:lang w:val="en-GB"/>
        </w:rPr>
        <w:t>Figure</w:t>
      </w:r>
      <w:r w:rsidRPr="00CC5C2D">
        <w:rPr>
          <w:rFonts w:ascii="Times New Roman" w:hAnsi="Times New Roman"/>
          <w:i/>
          <w:color w:val="FF0000"/>
          <w:lang w:val="en-GB"/>
        </w:rPr>
        <w:t xml:space="preserve"> </w:t>
      </w:r>
      <w:r w:rsidRPr="00CC5C2D">
        <w:rPr>
          <w:lang w:val="en-GB"/>
        </w:rPr>
        <w:fldChar w:fldCharType="begin"/>
      </w:r>
      <w:r w:rsidRPr="00CC5C2D">
        <w:rPr>
          <w:lang w:val="en-GB"/>
        </w:rPr>
        <w:instrText xml:space="preserve"> SEQ Figure \* ARABIC </w:instrText>
      </w:r>
      <w:r w:rsidRPr="00CC5C2D">
        <w:rPr>
          <w:lang w:val="en-GB"/>
        </w:rPr>
        <w:fldChar w:fldCharType="separate"/>
      </w:r>
      <w:r w:rsidRPr="00CC5C2D">
        <w:rPr>
          <w:noProof/>
          <w:lang w:val="en-GB"/>
        </w:rPr>
        <w:t>1</w:t>
      </w:r>
      <w:r w:rsidRPr="00CC5C2D">
        <w:rPr>
          <w:lang w:val="en-GB"/>
        </w:rPr>
        <w:fldChar w:fldCharType="end"/>
      </w:r>
      <w:bookmarkEnd w:id="1"/>
      <w:r>
        <w:rPr>
          <w:lang w:val="en-GB"/>
        </w:rPr>
        <w:t>:</w:t>
      </w:r>
      <w:r w:rsidRPr="002F7862">
        <w:rPr>
          <w:color w:val="FF0000"/>
          <w:lang w:val="en-GB"/>
        </w:rPr>
        <w:t xml:space="preserve"> </w:t>
      </w:r>
      <w:r w:rsidRPr="002D43D5">
        <w:rPr>
          <w:b w:val="0"/>
          <w:lang w:val="en-GB"/>
        </w:rPr>
        <w:t>Caption</w:t>
      </w:r>
    </w:p>
    <w:p w:rsidR="002D43D5" w:rsidRDefault="002D43D5" w:rsidP="002D43D5">
      <w:pPr>
        <w:spacing w:after="240"/>
        <w:jc w:val="center"/>
        <w:rPr>
          <w:i/>
          <w:lang w:val="en-GB"/>
        </w:rPr>
      </w:pPr>
      <w:r w:rsidRPr="002F7862">
        <w:rPr>
          <w:i/>
          <w:lang w:val="en-GB"/>
        </w:rPr>
        <w:t>(</w:t>
      </w:r>
      <w:r w:rsidR="00DD7A44">
        <w:rPr>
          <w:i/>
          <w:lang w:val="en-GB"/>
        </w:rPr>
        <w:t>Source</w:t>
      </w:r>
      <w:r w:rsidRPr="002F7862">
        <w:rPr>
          <w:i/>
          <w:lang w:val="en-GB"/>
        </w:rPr>
        <w:t>: www.</w:t>
      </w:r>
      <w:r>
        <w:rPr>
          <w:i/>
          <w:lang w:val="en-GB"/>
        </w:rPr>
        <w:t>interestingfigures</w:t>
      </w:r>
      <w:r w:rsidRPr="002F7862">
        <w:rPr>
          <w:i/>
          <w:lang w:val="en-GB"/>
        </w:rPr>
        <w:t>.</w:t>
      </w:r>
      <w:r>
        <w:rPr>
          <w:i/>
          <w:lang w:val="en-GB"/>
        </w:rPr>
        <w:t>com</w:t>
      </w:r>
      <w:r w:rsidRPr="002F7862">
        <w:rPr>
          <w:i/>
          <w:lang w:val="en-GB"/>
        </w:rPr>
        <w:t>/3d_diagaram</w:t>
      </w:r>
      <w:r>
        <w:rPr>
          <w:i/>
          <w:lang w:val="en-GB"/>
        </w:rPr>
        <w:t>s</w:t>
      </w:r>
      <w:r w:rsidRPr="002F7862">
        <w:rPr>
          <w:i/>
          <w:lang w:val="en-GB"/>
        </w:rPr>
        <w:t>)</w:t>
      </w:r>
    </w:p>
    <w:p w:rsidR="002D43D5" w:rsidRPr="002D43D5" w:rsidRDefault="002D43D5" w:rsidP="002D43D5">
      <w:pPr>
        <w:rPr>
          <w:lang w:val="en-GB"/>
        </w:rPr>
      </w:pPr>
      <w:r>
        <w:rPr>
          <w:lang w:val="en-GB"/>
        </w:rPr>
        <w:lastRenderedPageBreak/>
        <w:t xml:space="preserve">Before figures there are 12 pts, after them 6 pts spaces, and other 12 pts after caption. Figures should be referred in body text with their number (e.g.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_Ref505950843 \h  \* MERGEFORMAT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CC5C2D">
        <w:rPr>
          <w:lang w:val="en-GB"/>
        </w:rPr>
        <w:t>Figure</w:t>
      </w:r>
      <w:r w:rsidRPr="00CC5C2D">
        <w:rPr>
          <w:rFonts w:ascii="Times New Roman" w:hAnsi="Times New Roman"/>
          <w:b/>
          <w:i/>
          <w:color w:val="FF0000"/>
          <w:lang w:val="en-GB"/>
        </w:rPr>
        <w:t xml:space="preserve"> </w:t>
      </w:r>
      <w:r w:rsidRPr="00CC5C2D">
        <w:rPr>
          <w:noProof/>
          <w:lang w:val="en-GB"/>
        </w:rPr>
        <w:t>1</w:t>
      </w:r>
      <w:r>
        <w:rPr>
          <w:lang w:val="en-GB"/>
        </w:rPr>
        <w:fldChar w:fldCharType="end"/>
      </w:r>
      <w:r>
        <w:rPr>
          <w:lang w:val="en-GB"/>
        </w:rPr>
        <w:t>). If figures’ captions are inserted with the matching function (“Insert caption”), Figure reference can be generated automatically. (Referring in text also should be inserted as cross-reference, because this way numbers can be refreshed easily.)</w:t>
      </w:r>
    </w:p>
    <w:p w:rsidR="00DD5E41" w:rsidRDefault="00DD5E41">
      <w:pPr>
        <w:spacing w:after="0" w:line="240" w:lineRule="auto"/>
        <w:jc w:val="left"/>
        <w:rPr>
          <w:rFonts w:asciiTheme="majorHAnsi" w:hAnsiTheme="majorHAnsi" w:cs="Arial"/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19145B" w:rsidRPr="002F7862" w:rsidRDefault="008310B3" w:rsidP="003A6832">
      <w:pPr>
        <w:pStyle w:val="Cmsor1"/>
        <w:numPr>
          <w:ilvl w:val="0"/>
          <w:numId w:val="24"/>
        </w:numPr>
        <w:rPr>
          <w:lang w:val="en-GB"/>
        </w:rPr>
      </w:pPr>
      <w:r>
        <w:rPr>
          <w:lang w:val="en-GB"/>
        </w:rPr>
        <w:lastRenderedPageBreak/>
        <w:t>Charts</w:t>
      </w:r>
    </w:p>
    <w:p w:rsidR="002D43D5" w:rsidRDefault="002D43D5" w:rsidP="004227D8">
      <w:pPr>
        <w:rPr>
          <w:lang w:val="en-GB"/>
        </w:rPr>
      </w:pPr>
      <w:r>
        <w:rPr>
          <w:lang w:val="en-GB"/>
        </w:rPr>
        <w:t xml:space="preserve">Format rules for charts are similar to figures. The main difference is the place of caption, which is on the top and aligned right. Spaces are </w:t>
      </w:r>
      <w:r w:rsidR="00DD7A44">
        <w:rPr>
          <w:lang w:val="en-GB"/>
        </w:rPr>
        <w:t>6</w:t>
      </w:r>
      <w:r>
        <w:rPr>
          <w:lang w:val="en-GB"/>
        </w:rPr>
        <w:t xml:space="preserve">, 6 and 12 points (before caption, before and after </w:t>
      </w:r>
      <w:r w:rsidR="00DD7A44">
        <w:rPr>
          <w:lang w:val="en-GB"/>
        </w:rPr>
        <w:t xml:space="preserve">chart).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3"/>
      </w:tblGrid>
      <w:tr w:rsidR="00816DE9" w:rsidRPr="002F7862" w:rsidTr="00DD7A44">
        <w:tc>
          <w:tcPr>
            <w:tcW w:w="8503" w:type="dxa"/>
          </w:tcPr>
          <w:p w:rsidR="00641BE8" w:rsidRPr="002F7862" w:rsidRDefault="00DD7A44" w:rsidP="00DD7A44">
            <w:pPr>
              <w:pStyle w:val="Kpalrs"/>
              <w:jc w:val="right"/>
              <w:rPr>
                <w:lang w:val="en-GB"/>
              </w:rPr>
            </w:pPr>
            <w:r w:rsidRPr="00DD7A44">
              <w:rPr>
                <w:lang w:val="en-GB"/>
              </w:rPr>
              <w:t xml:space="preserve">Table </w:t>
            </w:r>
            <w:r w:rsidRPr="00DD7A44">
              <w:rPr>
                <w:lang w:val="en-GB"/>
              </w:rPr>
              <w:fldChar w:fldCharType="begin"/>
            </w:r>
            <w:r w:rsidRPr="00DD7A44">
              <w:rPr>
                <w:lang w:val="en-GB"/>
              </w:rPr>
              <w:instrText xml:space="preserve"> SEQ Table \* ARABIC </w:instrText>
            </w:r>
            <w:r w:rsidRPr="00DD7A44">
              <w:rPr>
                <w:lang w:val="en-GB"/>
              </w:rPr>
              <w:fldChar w:fldCharType="separate"/>
            </w:r>
            <w:r w:rsidRPr="00DD7A44">
              <w:rPr>
                <w:noProof/>
                <w:lang w:val="en-GB"/>
              </w:rPr>
              <w:t>1</w:t>
            </w:r>
            <w:r w:rsidRPr="00DD7A44">
              <w:rPr>
                <w:lang w:val="en-GB"/>
              </w:rPr>
              <w:fldChar w:fldCharType="end"/>
            </w:r>
            <w:r w:rsidRPr="00DD7A44">
              <w:rPr>
                <w:lang w:val="en-GB"/>
              </w:rPr>
              <w:t xml:space="preserve">: </w:t>
            </w:r>
            <w:r w:rsidRPr="00DD7A44">
              <w:rPr>
                <w:b w:val="0"/>
                <w:lang w:val="en-GB"/>
              </w:rPr>
              <w:t xml:space="preserve">Caption of table </w:t>
            </w:r>
            <w:r w:rsidR="00641BE8" w:rsidRPr="00DD7A44">
              <w:rPr>
                <w:b w:val="0"/>
                <w:i/>
                <w:lang w:val="en-GB"/>
              </w:rPr>
              <w:t>(</w:t>
            </w:r>
            <w:r>
              <w:rPr>
                <w:b w:val="0"/>
                <w:i/>
                <w:lang w:val="en-GB"/>
              </w:rPr>
              <w:t>Source</w:t>
            </w:r>
            <w:r w:rsidR="00641BE8" w:rsidRPr="00DD7A44">
              <w:rPr>
                <w:b w:val="0"/>
                <w:i/>
                <w:lang w:val="en-GB"/>
              </w:rPr>
              <w:t xml:space="preserve">: </w:t>
            </w:r>
            <w:r w:rsidR="009462AA" w:rsidRPr="00DD7A44">
              <w:rPr>
                <w:b w:val="0"/>
                <w:i/>
                <w:lang w:val="en-GB"/>
              </w:rPr>
              <w:fldChar w:fldCharType="begin"/>
            </w:r>
            <w:r w:rsidR="009462AA" w:rsidRPr="00DD7A44">
              <w:rPr>
                <w:b w:val="0"/>
                <w:i/>
                <w:lang w:val="en-GB"/>
              </w:rPr>
              <w:instrText xml:space="preserve"> REF _Ref381196863 \r \h </w:instrText>
            </w:r>
            <w:r>
              <w:rPr>
                <w:b w:val="0"/>
                <w:i/>
                <w:lang w:val="en-GB"/>
              </w:rPr>
              <w:instrText xml:space="preserve"> \* MERGEFORMAT </w:instrText>
            </w:r>
            <w:r w:rsidR="009462AA" w:rsidRPr="00DD7A44">
              <w:rPr>
                <w:b w:val="0"/>
                <w:i/>
                <w:lang w:val="en-GB"/>
              </w:rPr>
            </w:r>
            <w:r w:rsidR="009462AA" w:rsidRPr="00DD7A44">
              <w:rPr>
                <w:b w:val="0"/>
                <w:i/>
                <w:lang w:val="en-GB"/>
              </w:rPr>
              <w:fldChar w:fldCharType="separate"/>
            </w:r>
            <w:r w:rsidR="00D57989" w:rsidRPr="00DD7A44">
              <w:rPr>
                <w:b w:val="0"/>
                <w:i/>
                <w:lang w:val="en-GB"/>
              </w:rPr>
              <w:t>[2]</w:t>
            </w:r>
            <w:r w:rsidR="009462AA" w:rsidRPr="00DD7A44">
              <w:rPr>
                <w:b w:val="0"/>
                <w:i/>
                <w:lang w:val="en-GB"/>
              </w:rPr>
              <w:fldChar w:fldCharType="end"/>
            </w:r>
            <w:r w:rsidR="00641BE8" w:rsidRPr="00DD7A44">
              <w:rPr>
                <w:b w:val="0"/>
                <w:i/>
                <w:lang w:val="en-GB"/>
              </w:rPr>
              <w:t>)</w:t>
            </w:r>
          </w:p>
        </w:tc>
      </w:tr>
      <w:tr w:rsidR="00816DE9" w:rsidRPr="002F7862" w:rsidTr="00DD7A44">
        <w:tc>
          <w:tcPr>
            <w:tcW w:w="8503" w:type="dxa"/>
          </w:tcPr>
          <w:tbl>
            <w:tblPr>
              <w:tblpPr w:leftFromText="141" w:rightFromText="141" w:vertAnchor="text" w:horzAnchor="margin" w:tblpXSpec="center" w:tblpY="-83"/>
              <w:tblOverlap w:val="never"/>
              <w:tblW w:w="7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136"/>
              <w:gridCol w:w="1373"/>
              <w:gridCol w:w="1059"/>
              <w:gridCol w:w="1373"/>
              <w:gridCol w:w="1059"/>
            </w:tblGrid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D7A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Class, from</w:t>
                  </w:r>
                  <w:r w:rsidR="00D67B44"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HUF/EUR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D7A44" w:rsidP="009462AA">
                  <w:pPr>
                    <w:ind w:right="39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Class, to</w:t>
                  </w:r>
                  <w:r w:rsidR="00D67B44"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HUF/EUR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f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Appearance [pcs]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r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proofErr w:type="spellEnd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  <w:t>Relat</w:t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i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v</w:t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e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frequency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 xml:space="preserve"> [%]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F7862">
                    <w:rPr>
                      <w:rFonts w:ascii="Symbol" w:hAnsi="Symbol"/>
                      <w:b/>
                      <w:sz w:val="20"/>
                      <w:szCs w:val="20"/>
                      <w:lang w:val="en-GB"/>
                    </w:rPr>
                    <w:t>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f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</w:r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Aggregated appearance [pcs]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67B44" w:rsidRPr="002F7862" w:rsidRDefault="00D67B44" w:rsidP="00DD7A44">
                  <w:pPr>
                    <w:ind w:right="33" w:firstLine="67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2F7862">
                    <w:rPr>
                      <w:rFonts w:ascii="Symbol" w:hAnsi="Symbol"/>
                      <w:b/>
                      <w:sz w:val="20"/>
                      <w:szCs w:val="20"/>
                      <w:lang w:val="en-GB"/>
                    </w:rPr>
                    <w:t></w:t>
                  </w:r>
                  <w:proofErr w:type="spellStart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t>r</w:t>
                  </w:r>
                  <w:r w:rsidRPr="002F7862">
                    <w:rPr>
                      <w:b/>
                      <w:sz w:val="20"/>
                      <w:szCs w:val="20"/>
                      <w:vertAlign w:val="subscript"/>
                      <w:lang w:val="en-GB"/>
                    </w:rPr>
                    <w:t>i</w:t>
                  </w:r>
                  <w:proofErr w:type="spellEnd"/>
                  <w:r w:rsidRPr="002F7862">
                    <w:rPr>
                      <w:b/>
                      <w:sz w:val="20"/>
                      <w:szCs w:val="20"/>
                      <w:lang w:val="en-GB"/>
                    </w:rPr>
                    <w:br/>
                  </w:r>
                  <w:proofErr w:type="spellStart"/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Aggr</w:t>
                  </w:r>
                  <w:proofErr w:type="spellEnd"/>
                  <w:r w:rsidR="00DD7A44">
                    <w:rPr>
                      <w:b/>
                      <w:sz w:val="20"/>
                      <w:szCs w:val="20"/>
                      <w:lang w:val="en-GB"/>
                    </w:rPr>
                    <w:t>. relative frequency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113.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53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467DAE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128</w:t>
                  </w:r>
                  <w:r w:rsidR="00467DAE">
                    <w:rPr>
                      <w:rFonts w:cs="Arial"/>
                      <w:sz w:val="22"/>
                      <w:szCs w:val="20"/>
                      <w:lang w:val="en-GB"/>
                    </w:rPr>
                    <w:t>.</w:t>
                  </w: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95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467DAE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128</w:t>
                  </w:r>
                  <w:r w:rsidR="00467DAE">
                    <w:rPr>
                      <w:rFonts w:cs="Arial"/>
                      <w:sz w:val="22"/>
                      <w:szCs w:val="20"/>
                      <w:lang w:val="en-GB"/>
                    </w:rPr>
                    <w:t>.</w:t>
                  </w: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95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144.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36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144.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36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159.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78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159.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78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175.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21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12%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175.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190.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61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29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16%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190.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61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206.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03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39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22%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206.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03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221.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44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45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25%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221.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44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236.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86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55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30%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236.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86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252.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28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58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32%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113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62%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252.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28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267.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69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62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34%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175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97%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267.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69</w:t>
                  </w:r>
                </w:p>
              </w:tc>
              <w:tc>
                <w:tcPr>
                  <w:tcW w:w="1136" w:type="dxa"/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283.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059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3%</w:t>
                  </w:r>
                </w:p>
              </w:tc>
              <w:tc>
                <w:tcPr>
                  <w:tcW w:w="1373" w:type="dxa"/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180</w:t>
                  </w:r>
                </w:p>
              </w:tc>
              <w:tc>
                <w:tcPr>
                  <w:tcW w:w="1059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99%</w:t>
                  </w:r>
                </w:p>
              </w:tc>
            </w:tr>
            <w:tr w:rsidR="00D67B44" w:rsidRPr="002F7862" w:rsidTr="00DD7A44">
              <w:trPr>
                <w:trHeight w:val="255"/>
              </w:trPr>
              <w:tc>
                <w:tcPr>
                  <w:tcW w:w="113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283.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1136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467DAE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22"/>
                      <w:szCs w:val="20"/>
                      <w:lang w:val="en-GB"/>
                    </w:rPr>
                    <w:t>298.</w:t>
                  </w:r>
                  <w:r w:rsidR="00D67B44"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53</w:t>
                  </w:r>
                </w:p>
              </w:tc>
              <w:tc>
                <w:tcPr>
                  <w:tcW w:w="1373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1%</w:t>
                  </w:r>
                </w:p>
              </w:tc>
              <w:tc>
                <w:tcPr>
                  <w:tcW w:w="1373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181</w:t>
                  </w:r>
                </w:p>
              </w:tc>
              <w:tc>
                <w:tcPr>
                  <w:tcW w:w="105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D67B44" w:rsidRPr="002F7862" w:rsidRDefault="00D67B44" w:rsidP="00AD3479">
                  <w:pPr>
                    <w:spacing w:line="240" w:lineRule="auto"/>
                    <w:ind w:right="153" w:firstLine="67"/>
                    <w:jc w:val="right"/>
                    <w:rPr>
                      <w:rFonts w:cs="Arial"/>
                      <w:sz w:val="22"/>
                      <w:szCs w:val="20"/>
                      <w:lang w:val="en-GB"/>
                    </w:rPr>
                  </w:pPr>
                  <w:r w:rsidRPr="002F7862">
                    <w:rPr>
                      <w:rFonts w:cs="Arial"/>
                      <w:sz w:val="22"/>
                      <w:szCs w:val="20"/>
                      <w:lang w:val="en-GB"/>
                    </w:rPr>
                    <w:t>100%</w:t>
                  </w:r>
                </w:p>
              </w:tc>
            </w:tr>
          </w:tbl>
          <w:p w:rsidR="00816DE9" w:rsidRPr="002F7862" w:rsidRDefault="00816DE9" w:rsidP="00E66BB1">
            <w:pPr>
              <w:rPr>
                <w:lang w:val="en-GB"/>
              </w:rPr>
            </w:pPr>
          </w:p>
        </w:tc>
      </w:tr>
    </w:tbl>
    <w:p w:rsidR="008E0AEE" w:rsidRPr="002F7862" w:rsidRDefault="008E0AEE" w:rsidP="002106A4">
      <w:pPr>
        <w:pStyle w:val="Cmsor2"/>
        <w:rPr>
          <w:lang w:val="en-GB"/>
        </w:rPr>
      </w:pPr>
      <w:r w:rsidRPr="002F7862">
        <w:rPr>
          <w:lang w:val="en-GB"/>
        </w:rPr>
        <w:t xml:space="preserve"> </w:t>
      </w:r>
      <w:r w:rsidR="00DD7A44">
        <w:rPr>
          <w:lang w:val="en-GB"/>
        </w:rPr>
        <w:t>References</w:t>
      </w:r>
    </w:p>
    <w:p w:rsidR="00DD7A44" w:rsidRDefault="00DD7A44" w:rsidP="004227D8">
      <w:pPr>
        <w:rPr>
          <w:lang w:val="en-GB"/>
        </w:rPr>
      </w:pPr>
      <w:r>
        <w:rPr>
          <w:lang w:val="en-GB"/>
        </w:rPr>
        <w:t>External references in text signed with the number of source</w:t>
      </w:r>
      <w:r w:rsidR="00467DAE">
        <w:rPr>
          <w:lang w:val="en-GB"/>
        </w:rPr>
        <w:t>, in square brackets.</w:t>
      </w:r>
      <w:r w:rsidR="00467DAE" w:rsidRPr="00467DAE">
        <w:rPr>
          <w:lang w:val="en-GB"/>
        </w:rPr>
        <w:t xml:space="preserve"> </w:t>
      </w:r>
      <w:r w:rsidR="00467DAE" w:rsidRPr="002F7862">
        <w:rPr>
          <w:lang w:val="en-GB"/>
        </w:rPr>
        <w:fldChar w:fldCharType="begin"/>
      </w:r>
      <w:r w:rsidR="00467DAE" w:rsidRPr="002F7862">
        <w:rPr>
          <w:lang w:val="en-GB"/>
        </w:rPr>
        <w:instrText xml:space="preserve"> REF _Ref381196877 \r \h </w:instrText>
      </w:r>
      <w:r w:rsidR="00467DAE" w:rsidRPr="002F7862">
        <w:rPr>
          <w:lang w:val="en-GB"/>
        </w:rPr>
      </w:r>
      <w:r w:rsidR="00467DAE" w:rsidRPr="002F7862">
        <w:rPr>
          <w:lang w:val="en-GB"/>
        </w:rPr>
        <w:fldChar w:fldCharType="separate"/>
      </w:r>
      <w:r w:rsidR="00467DAE" w:rsidRPr="002F7862">
        <w:rPr>
          <w:lang w:val="en-GB"/>
        </w:rPr>
        <w:t>[5]</w:t>
      </w:r>
      <w:r w:rsidR="00467DAE" w:rsidRPr="002F7862">
        <w:rPr>
          <w:lang w:val="en-GB"/>
        </w:rPr>
        <w:fldChar w:fldCharType="end"/>
      </w:r>
      <w:r w:rsidR="00467DAE">
        <w:rPr>
          <w:lang w:val="en-GB"/>
        </w:rPr>
        <w:t xml:space="preserve"> Cross-references should be used (in order to handle source number changes easily). Literal quotes have to be signed with quotation marks, as well.</w:t>
      </w:r>
    </w:p>
    <w:p w:rsidR="00467DAE" w:rsidRDefault="00467DAE" w:rsidP="004227D8">
      <w:pPr>
        <w:rPr>
          <w:lang w:val="en-GB"/>
        </w:rPr>
      </w:pPr>
      <w:r>
        <w:rPr>
          <w:lang w:val="en-GB"/>
        </w:rPr>
        <w:t>Mathematical formulae also have to be numbered (with numbers in round brackets), and 12 pts spaces should be placed before and after them.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7"/>
        <w:gridCol w:w="7506"/>
      </w:tblGrid>
      <w:tr w:rsidR="00BD7B77" w:rsidRPr="002F7862" w:rsidTr="00467DAE">
        <w:tc>
          <w:tcPr>
            <w:tcW w:w="997" w:type="dxa"/>
            <w:vAlign w:val="center"/>
          </w:tcPr>
          <w:p w:rsidR="00BD7B77" w:rsidRPr="002F7862" w:rsidRDefault="00BD7B77" w:rsidP="005257D5">
            <w:pPr>
              <w:rPr>
                <w:lang w:val="en-GB"/>
              </w:rPr>
            </w:pPr>
            <w:r w:rsidRPr="002F7862">
              <w:rPr>
                <w:lang w:val="en-GB"/>
              </w:rPr>
              <w:t>(1)</w:t>
            </w:r>
          </w:p>
        </w:tc>
        <w:tc>
          <w:tcPr>
            <w:tcW w:w="7506" w:type="dxa"/>
          </w:tcPr>
          <w:p w:rsidR="00BD7B77" w:rsidRPr="002F7862" w:rsidRDefault="0002043D" w:rsidP="00A31416">
            <w:pPr>
              <w:spacing w:before="240" w:after="240"/>
              <w:rPr>
                <w:lang w:val="en-GB"/>
              </w:rPr>
            </w:pPr>
            <w:r w:rsidRPr="002F7862">
              <w:rPr>
                <w:position w:val="-32"/>
                <w:lang w:val="en-GB"/>
              </w:rPr>
              <w:object w:dxaOrig="1060" w:dyaOrig="740">
                <v:shape id="_x0000_i1026" type="#_x0000_t75" style="width:53.25pt;height:36.75pt" o:ole="">
                  <v:imagedata r:id="rId11" o:title=""/>
                </v:shape>
                <o:OLEObject Type="Embed" ProgID="Equation.3" ShapeID="_x0000_i1026" DrawAspect="Content" ObjectID="_1706106518" r:id="rId12"/>
              </w:object>
            </w:r>
          </w:p>
        </w:tc>
      </w:tr>
    </w:tbl>
    <w:p w:rsidR="003D5424" w:rsidRPr="00204D95" w:rsidRDefault="00467DAE" w:rsidP="00204D95">
      <w:pPr>
        <w:pStyle w:val="Cmsor3"/>
        <w:rPr>
          <w:lang w:val="en-GB"/>
        </w:rPr>
      </w:pPr>
      <w:r w:rsidRPr="00204D95">
        <w:rPr>
          <w:lang w:val="en-GB"/>
        </w:rPr>
        <w:lastRenderedPageBreak/>
        <w:t>Third-level title</w:t>
      </w:r>
      <w:r w:rsidR="00204D95" w:rsidRPr="00204D95">
        <w:rPr>
          <w:lang w:val="en-GB"/>
        </w:rPr>
        <w:t xml:space="preserve"> </w:t>
      </w:r>
      <w:r w:rsidR="00204D95" w:rsidRP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(</w:t>
      </w:r>
      <w:r w:rsid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Heading 3</w:t>
      </w:r>
      <w:r w:rsidR="00204D95" w:rsidRP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 xml:space="preserve"> style, size 1</w:t>
      </w:r>
      <w:r w:rsid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4</w:t>
      </w:r>
      <w:r w:rsidR="00204D95" w:rsidRPr="00204D95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>)</w:t>
      </w:r>
    </w:p>
    <w:p w:rsidR="00467DAE" w:rsidRDefault="00467DAE" w:rsidP="00BD7B77">
      <w:pPr>
        <w:rPr>
          <w:lang w:val="en-GB"/>
        </w:rPr>
      </w:pPr>
      <w:r>
        <w:rPr>
          <w:lang w:val="en-GB"/>
        </w:rPr>
        <w:t>Thesis work has to contain contents, introduction, at least 3 main chapters</w:t>
      </w:r>
      <w:r w:rsidR="00D70C29">
        <w:rPr>
          <w:lang w:val="en-GB"/>
        </w:rPr>
        <w:t>, conclusion, references, list of figures, list of charts, and – if needed – appendix.</w:t>
      </w:r>
    </w:p>
    <w:p w:rsidR="003D5424" w:rsidRPr="002F7862" w:rsidRDefault="00D70C29" w:rsidP="007A09F7">
      <w:pPr>
        <w:pStyle w:val="Alcm"/>
        <w:ind w:firstLine="0"/>
        <w:rPr>
          <w:b w:val="0"/>
          <w:lang w:val="en-GB"/>
        </w:rPr>
      </w:pPr>
      <w:r>
        <w:rPr>
          <w:b w:val="0"/>
          <w:lang w:val="en-GB"/>
        </w:rPr>
        <w:t xml:space="preserve">Subtitle </w:t>
      </w:r>
      <w:r w:rsidR="003D5424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(</w:t>
      </w:r>
      <w:r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Subtitle style</w:t>
      </w:r>
      <w:r w:rsidR="001B11B8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,</w:t>
      </w:r>
      <w:r w:rsidR="003D5424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 xml:space="preserve"> </w:t>
      </w:r>
      <w:r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 xml:space="preserve">size </w:t>
      </w:r>
      <w:r w:rsidR="003D5424" w:rsidRPr="00D70C29">
        <w:rPr>
          <w:rFonts w:ascii="Times New Roman" w:eastAsia="Times New Roman" w:hAnsi="Times New Roman" w:cs="Times New Roman"/>
          <w:b w:val="0"/>
          <w:bCs/>
          <w:i/>
          <w:color w:val="FF0000"/>
          <w:spacing w:val="0"/>
          <w:kern w:val="32"/>
          <w:sz w:val="24"/>
          <w:szCs w:val="24"/>
          <w:lang w:val="en-GB"/>
        </w:rPr>
        <w:t>13)</w:t>
      </w:r>
    </w:p>
    <w:p w:rsidR="00D70C29" w:rsidRDefault="005F0C51" w:rsidP="0028099E">
      <w:pPr>
        <w:rPr>
          <w:lang w:val="en-GB"/>
        </w:rPr>
      </w:pPr>
      <w:r w:rsidRPr="002F7862">
        <w:rPr>
          <w:lang w:val="en-GB"/>
        </w:rPr>
        <w:t>A</w:t>
      </w:r>
      <w:r w:rsidR="00D70C29">
        <w:rPr>
          <w:lang w:val="en-GB"/>
        </w:rPr>
        <w:t>ppendices are numbered and have a title. They are referred in text with their number (e.g. Appendix 1).</w:t>
      </w:r>
    </w:p>
    <w:p w:rsidR="00204D95" w:rsidRDefault="00204D95">
      <w:pPr>
        <w:spacing w:after="0" w:line="240" w:lineRule="auto"/>
        <w:jc w:val="left"/>
        <w:rPr>
          <w:rFonts w:asciiTheme="majorHAnsi" w:hAnsiTheme="majorHAnsi" w:cs="Arial"/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8E0AEE" w:rsidRPr="002F7862" w:rsidRDefault="00D70C29" w:rsidP="00055D1B">
      <w:pPr>
        <w:pStyle w:val="Cmsor1"/>
        <w:numPr>
          <w:ilvl w:val="0"/>
          <w:numId w:val="0"/>
        </w:numPr>
        <w:ind w:left="431" w:hanging="431"/>
        <w:rPr>
          <w:lang w:val="en-GB"/>
        </w:rPr>
      </w:pPr>
      <w:r>
        <w:rPr>
          <w:lang w:val="en-GB"/>
        </w:rPr>
        <w:lastRenderedPageBreak/>
        <w:t>References</w:t>
      </w:r>
      <w:r w:rsidR="003D5FD8" w:rsidRPr="002F7862">
        <w:rPr>
          <w:lang w:val="en-GB"/>
        </w:rPr>
        <w:t xml:space="preserve"> </w:t>
      </w:r>
      <w:r w:rsidR="003D5FD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 xml:space="preserve">Heading </w:t>
      </w:r>
      <w:r w:rsidR="003D5FD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 xml:space="preserve"> style</w:t>
      </w:r>
      <w:r w:rsidR="004C373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,</w:t>
      </w:r>
      <w:r w:rsidR="001B11B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but without number!</w:t>
      </w:r>
      <w:r w:rsidR="003D5FD8" w:rsidRPr="002F7862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GB"/>
        </w:rPr>
        <w:t>)</w:t>
      </w:r>
    </w:p>
    <w:p w:rsidR="003049AE" w:rsidRPr="002F7862" w:rsidRDefault="00D70C29" w:rsidP="00975AD0">
      <w:pPr>
        <w:spacing w:before="360" w:after="240"/>
        <w:rPr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Book</w:t>
      </w:r>
      <w:r w:rsidR="00726F5F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  <w:r w:rsidR="003049AE" w:rsidRPr="002F7862">
        <w:rPr>
          <w:rFonts w:asciiTheme="majorHAnsi" w:hAnsiTheme="majorHAnsi"/>
          <w:b/>
          <w:i/>
          <w:sz w:val="28"/>
          <w:szCs w:val="28"/>
          <w:lang w:val="en-GB"/>
        </w:rPr>
        <w:t xml:space="preserve"> </w:t>
      </w:r>
      <w:r w:rsidR="003049AE" w:rsidRPr="002F7862">
        <w:rPr>
          <w:rFonts w:ascii="Times New Roman" w:hAnsi="Times New Roman"/>
          <w:i/>
          <w:color w:val="FF0000"/>
          <w:szCs w:val="28"/>
          <w:lang w:val="en-GB"/>
        </w:rPr>
        <w:t>(</w:t>
      </w:r>
      <w:r w:rsidR="00BF5AFF">
        <w:rPr>
          <w:rFonts w:ascii="Times New Roman" w:hAnsi="Times New Roman"/>
          <w:i/>
          <w:color w:val="FF0000"/>
          <w:szCs w:val="28"/>
          <w:lang w:val="en-GB"/>
        </w:rPr>
        <w:t>Like Heading 2, but</w:t>
      </w:r>
      <w:r w:rsidR="00975AD0" w:rsidRPr="002F7862">
        <w:rPr>
          <w:rFonts w:ascii="Times New Roman" w:hAnsi="Times New Roman"/>
          <w:i/>
          <w:color w:val="FF0000"/>
          <w:szCs w:val="28"/>
          <w:lang w:val="en-GB"/>
        </w:rPr>
        <w:t xml:space="preserve"> </w:t>
      </w:r>
      <w:r w:rsidR="00BF5AFF" w:rsidRPr="002F7862">
        <w:rPr>
          <w:rFonts w:ascii="Times New Roman" w:hAnsi="Times New Roman"/>
          <w:i/>
          <w:color w:val="FF0000"/>
          <w:szCs w:val="28"/>
          <w:lang w:val="en-GB"/>
        </w:rPr>
        <w:t>Norm</w:t>
      </w:r>
      <w:r w:rsidR="00BF5AFF">
        <w:rPr>
          <w:rFonts w:ascii="Times New Roman" w:hAnsi="Times New Roman"/>
          <w:i/>
          <w:color w:val="FF0000"/>
          <w:szCs w:val="28"/>
          <w:lang w:val="en-GB"/>
        </w:rPr>
        <w:t>a</w:t>
      </w:r>
      <w:r w:rsidR="00204D95">
        <w:rPr>
          <w:rFonts w:ascii="Times New Roman" w:hAnsi="Times New Roman"/>
          <w:i/>
          <w:color w:val="FF0000"/>
          <w:szCs w:val="28"/>
          <w:lang w:val="en-GB"/>
        </w:rPr>
        <w:t>l</w:t>
      </w:r>
      <w:r w:rsidR="00BF5AFF" w:rsidRPr="002F7862">
        <w:rPr>
          <w:rFonts w:ascii="Times New Roman" w:hAnsi="Times New Roman"/>
          <w:i/>
          <w:color w:val="FF0000"/>
          <w:szCs w:val="28"/>
          <w:lang w:val="en-GB"/>
        </w:rPr>
        <w:t>(</w:t>
      </w:r>
      <w:r w:rsidR="00975AD0" w:rsidRPr="002F7862">
        <w:rPr>
          <w:rFonts w:ascii="Times New Roman" w:hAnsi="Times New Roman"/>
          <w:i/>
          <w:color w:val="FF0000"/>
          <w:szCs w:val="28"/>
          <w:lang w:val="en-GB"/>
        </w:rPr>
        <w:t>!)</w:t>
      </w:r>
      <w:r w:rsidR="00BF5AFF">
        <w:rPr>
          <w:rFonts w:ascii="Times New Roman" w:hAnsi="Times New Roman"/>
          <w:i/>
          <w:color w:val="FF0000"/>
          <w:szCs w:val="28"/>
          <w:lang w:val="en-GB"/>
        </w:rPr>
        <w:t xml:space="preserve"> style</w:t>
      </w:r>
      <w:r w:rsidR="00726F5F" w:rsidRPr="002F7862">
        <w:rPr>
          <w:rFonts w:ascii="Times New Roman" w:hAnsi="Times New Roman"/>
          <w:i/>
          <w:color w:val="FF0000"/>
          <w:szCs w:val="28"/>
          <w:lang w:val="en-GB"/>
        </w:rPr>
        <w:t>)</w:t>
      </w:r>
    </w:p>
    <w:p w:rsidR="00D70C29" w:rsidRDefault="00D70C29" w:rsidP="00AB30F7">
      <w:pPr>
        <w:spacing w:line="240" w:lineRule="auto"/>
        <w:rPr>
          <w:i/>
          <w:color w:val="FF0000"/>
          <w:sz w:val="22"/>
          <w:lang w:val="en-GB"/>
        </w:rPr>
      </w:pPr>
      <w:r>
        <w:rPr>
          <w:i/>
          <w:color w:val="FF0000"/>
          <w:sz w:val="22"/>
          <w:lang w:val="en-GB"/>
        </w:rPr>
        <w:t>References are given in a numbered list (to make cross-references possible)</w:t>
      </w:r>
      <w:r w:rsidR="00BF5AFF">
        <w:rPr>
          <w:i/>
          <w:color w:val="FF0000"/>
          <w:sz w:val="22"/>
          <w:lang w:val="en-GB"/>
        </w:rPr>
        <w:t>. “Reference-KUKG” style should be used (which has suitable settings). Subtitles in the references should be used only if at least 3 different kind of sources (book, journal etc.) appear. Besides sources from the internet, date of access also has to be marked.</w:t>
      </w:r>
    </w:p>
    <w:p w:rsidR="003049AE" w:rsidRPr="002F7862" w:rsidRDefault="00D70C29" w:rsidP="00934F2B">
      <w:pPr>
        <w:pStyle w:val="ReferencesKUKG"/>
        <w:rPr>
          <w:b w:val="0"/>
          <w:lang w:val="en-GB"/>
        </w:rPr>
      </w:pPr>
      <w:r>
        <w:rPr>
          <w:b w:val="0"/>
          <w:i/>
          <w:lang w:val="en-GB"/>
        </w:rPr>
        <w:t>Author</w:t>
      </w:r>
      <w:r w:rsidR="00B671A0" w:rsidRPr="002F7862">
        <w:rPr>
          <w:b w:val="0"/>
          <w:lang w:val="en-GB"/>
        </w:rPr>
        <w:t xml:space="preserve">. </w:t>
      </w:r>
      <w:r>
        <w:rPr>
          <w:iCs/>
          <w:lang w:val="en-GB"/>
        </w:rPr>
        <w:t>Title</w:t>
      </w:r>
      <w:r w:rsidR="00B671A0" w:rsidRPr="002F7862">
        <w:rPr>
          <w:lang w:val="en-GB"/>
        </w:rPr>
        <w:t>.</w:t>
      </w:r>
      <w:r w:rsidR="00B671A0" w:rsidRPr="002F7862">
        <w:rPr>
          <w:b w:val="0"/>
          <w:lang w:val="en-GB"/>
        </w:rPr>
        <w:t xml:space="preserve"> </w:t>
      </w:r>
      <w:r>
        <w:rPr>
          <w:b w:val="0"/>
          <w:lang w:val="en-GB"/>
        </w:rPr>
        <w:t>Place of publishing</w:t>
      </w:r>
      <w:r w:rsidR="00B671A0" w:rsidRPr="002F7862">
        <w:rPr>
          <w:b w:val="0"/>
          <w:lang w:val="en-GB"/>
        </w:rPr>
        <w:t xml:space="preserve">, </w:t>
      </w:r>
      <w:r>
        <w:rPr>
          <w:b w:val="0"/>
          <w:lang w:val="en-GB"/>
        </w:rPr>
        <w:t>Publisher</w:t>
      </w:r>
      <w:r w:rsidR="00B671A0" w:rsidRPr="002F7862">
        <w:rPr>
          <w:b w:val="0"/>
          <w:lang w:val="en-GB"/>
        </w:rPr>
        <w:t xml:space="preserve">, </w:t>
      </w:r>
      <w:r w:rsidR="00AB30F7" w:rsidRPr="002F7862">
        <w:rPr>
          <w:b w:val="0"/>
          <w:lang w:val="en-GB"/>
        </w:rPr>
        <w:t>(</w:t>
      </w:r>
      <w:r>
        <w:rPr>
          <w:b w:val="0"/>
          <w:lang w:val="en-GB"/>
        </w:rPr>
        <w:t>year</w:t>
      </w:r>
      <w:r w:rsidR="00AB30F7" w:rsidRPr="002F7862">
        <w:rPr>
          <w:b w:val="0"/>
          <w:lang w:val="en-GB"/>
        </w:rPr>
        <w:t>)</w:t>
      </w:r>
      <w:r w:rsidR="00B671A0" w:rsidRPr="002F7862">
        <w:rPr>
          <w:b w:val="0"/>
          <w:lang w:val="en-GB"/>
        </w:rPr>
        <w:t xml:space="preserve">. pp. </w:t>
      </w:r>
      <w:r>
        <w:rPr>
          <w:b w:val="0"/>
          <w:lang w:val="en-GB"/>
        </w:rPr>
        <w:t>12-15</w:t>
      </w:r>
      <w:r w:rsidR="00B671A0" w:rsidRPr="002F7862">
        <w:rPr>
          <w:b w:val="0"/>
          <w:lang w:val="en-GB"/>
        </w:rPr>
        <w:t>. ISBN 963 07 4580 1</w:t>
      </w:r>
      <w:r w:rsidR="003049AE" w:rsidRPr="002F7862">
        <w:rPr>
          <w:b w:val="0"/>
          <w:lang w:val="en-GB"/>
        </w:rPr>
        <w:t>.</w:t>
      </w:r>
    </w:p>
    <w:p w:rsidR="003D5FD8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Journal</w:t>
      </w:r>
      <w:r w:rsidR="00987712">
        <w:rPr>
          <w:rFonts w:asciiTheme="majorHAnsi" w:hAnsiTheme="majorHAnsi"/>
          <w:b/>
          <w:i/>
          <w:sz w:val="28"/>
          <w:szCs w:val="28"/>
          <w:lang w:val="en-GB"/>
        </w:rPr>
        <w:t>s</w:t>
      </w:r>
      <w:r w:rsidR="00FA03C8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B447CB" w:rsidRPr="002F7862" w:rsidRDefault="0058266E" w:rsidP="00934F2B">
      <w:pPr>
        <w:pStyle w:val="ReferencesKUKG"/>
        <w:rPr>
          <w:b w:val="0"/>
          <w:lang w:val="en-GB"/>
        </w:rPr>
      </w:pPr>
      <w:bookmarkStart w:id="2" w:name="_Ref381196863"/>
      <w:proofErr w:type="spellStart"/>
      <w:r w:rsidRPr="002F7862">
        <w:rPr>
          <w:b w:val="0"/>
          <w:i/>
          <w:lang w:val="en-GB"/>
        </w:rPr>
        <w:t>Bokor</w:t>
      </w:r>
      <w:proofErr w:type="spellEnd"/>
      <w:r w:rsidRPr="002F7862">
        <w:rPr>
          <w:b w:val="0"/>
          <w:i/>
          <w:lang w:val="en-GB"/>
        </w:rPr>
        <w:t xml:space="preserve"> Z. és</w:t>
      </w:r>
      <w:r w:rsidR="00B447CB" w:rsidRPr="002F7862">
        <w:rPr>
          <w:b w:val="0"/>
          <w:i/>
          <w:lang w:val="en-GB"/>
        </w:rPr>
        <w:t xml:space="preserve"> Tánczos K.</w:t>
      </w:r>
      <w:r w:rsidR="00B447CB" w:rsidRPr="002F7862">
        <w:rPr>
          <w:b w:val="0"/>
          <w:lang w:val="en-GB"/>
        </w:rPr>
        <w:t xml:space="preserve"> </w:t>
      </w:r>
      <w:r w:rsidR="00B447CB" w:rsidRPr="002F7862">
        <w:rPr>
          <w:lang w:val="en-GB"/>
        </w:rPr>
        <w:t>Social costs of transport and their general and mode specific characteristics</w:t>
      </w:r>
      <w:r w:rsidR="00934F2B" w:rsidRPr="002F7862">
        <w:rPr>
          <w:lang w:val="en-GB"/>
        </w:rPr>
        <w:t>,</w:t>
      </w:r>
      <w:r w:rsidR="00B447CB" w:rsidRPr="002F7862">
        <w:rPr>
          <w:b w:val="0"/>
          <w:lang w:val="en-GB"/>
        </w:rPr>
        <w:t xml:space="preserve"> </w:t>
      </w:r>
      <w:proofErr w:type="spellStart"/>
      <w:r w:rsidR="00B447CB" w:rsidRPr="002F7862">
        <w:rPr>
          <w:b w:val="0"/>
          <w:lang w:val="en-GB"/>
        </w:rPr>
        <w:t>Közlekedéstudományi</w:t>
      </w:r>
      <w:proofErr w:type="spellEnd"/>
      <w:r w:rsidR="00B447CB" w:rsidRPr="002F7862">
        <w:rPr>
          <w:b w:val="0"/>
          <w:lang w:val="en-GB"/>
        </w:rPr>
        <w:t xml:space="preserve"> </w:t>
      </w:r>
      <w:proofErr w:type="spellStart"/>
      <w:r w:rsidR="00B447CB" w:rsidRPr="002F7862">
        <w:rPr>
          <w:b w:val="0"/>
          <w:lang w:val="en-GB"/>
        </w:rPr>
        <w:t>Szemle</w:t>
      </w:r>
      <w:proofErr w:type="spellEnd"/>
      <w:r w:rsidR="00B447CB" w:rsidRPr="002F7862">
        <w:rPr>
          <w:b w:val="0"/>
          <w:lang w:val="en-GB"/>
        </w:rPr>
        <w:t xml:space="preserve">, Vol. 53 No. 8, </w:t>
      </w:r>
      <w:r w:rsidR="00B671A0" w:rsidRPr="002F7862">
        <w:rPr>
          <w:b w:val="0"/>
          <w:lang w:val="en-GB"/>
        </w:rPr>
        <w:t>(</w:t>
      </w:r>
      <w:r w:rsidR="00B447CB" w:rsidRPr="002F7862">
        <w:rPr>
          <w:b w:val="0"/>
          <w:lang w:val="en-GB"/>
        </w:rPr>
        <w:t>2003</w:t>
      </w:r>
      <w:r w:rsidR="00B671A0" w:rsidRPr="002F7862">
        <w:rPr>
          <w:b w:val="0"/>
          <w:lang w:val="en-GB"/>
        </w:rPr>
        <w:t>)</w:t>
      </w:r>
      <w:r w:rsidR="00B447CB" w:rsidRPr="002F7862">
        <w:rPr>
          <w:b w:val="0"/>
          <w:lang w:val="en-GB"/>
        </w:rPr>
        <w:t>, pp. 281–291.</w:t>
      </w:r>
      <w:r w:rsidR="00B671A0" w:rsidRPr="002F7862">
        <w:rPr>
          <w:b w:val="0"/>
          <w:lang w:val="en-GB"/>
        </w:rPr>
        <w:t xml:space="preserve"> ISSN </w:t>
      </w:r>
      <w:r w:rsidR="00B671A0" w:rsidRPr="002F7862">
        <w:rPr>
          <w:b w:val="0"/>
          <w:color w:val="000000"/>
          <w:lang w:val="en-GB"/>
        </w:rPr>
        <w:t>0023-4362</w:t>
      </w:r>
      <w:bookmarkEnd w:id="2"/>
    </w:p>
    <w:p w:rsidR="003049AE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Conference proceedings</w:t>
      </w:r>
      <w:r w:rsidR="003049AE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5F0C51" w:rsidRPr="002F7862" w:rsidRDefault="003049AE" w:rsidP="00934F2B">
      <w:pPr>
        <w:pStyle w:val="ReferencesKUKG"/>
        <w:rPr>
          <w:b w:val="0"/>
          <w:lang w:val="en-GB"/>
        </w:rPr>
      </w:pPr>
      <w:bookmarkStart w:id="3" w:name="_Ref381196825"/>
      <w:r w:rsidRPr="002F7862">
        <w:rPr>
          <w:b w:val="0"/>
          <w:i/>
          <w:lang w:val="en-GB"/>
        </w:rPr>
        <w:t>Török Á</w:t>
      </w:r>
      <w:r w:rsidRPr="002F7862">
        <w:rPr>
          <w:b w:val="0"/>
          <w:lang w:val="en-GB"/>
        </w:rPr>
        <w:t>.</w:t>
      </w:r>
      <w:r w:rsidRPr="002F7862">
        <w:rPr>
          <w:b w:val="0"/>
          <w:bCs/>
          <w:lang w:val="en-GB"/>
        </w:rPr>
        <w:t xml:space="preserve"> </w:t>
      </w:r>
      <w:r w:rsidRPr="002F7862">
        <w:rPr>
          <w:bCs/>
          <w:lang w:val="en-GB"/>
        </w:rPr>
        <w:t>Road safety techniques in Hungary according to EU directives</w:t>
      </w:r>
      <w:r w:rsidRPr="002F7862">
        <w:rPr>
          <w:b w:val="0"/>
          <w:bCs/>
          <w:lang w:val="en-GB"/>
        </w:rPr>
        <w:t>,</w:t>
      </w:r>
      <w:r w:rsidRPr="002F7862">
        <w:rPr>
          <w:b w:val="0"/>
          <w:lang w:val="en-GB"/>
        </w:rPr>
        <w:t xml:space="preserve"> </w:t>
      </w:r>
      <w:r w:rsidRPr="002F7862">
        <w:rPr>
          <w:b w:val="0"/>
          <w:i/>
          <w:lang w:val="en-GB"/>
        </w:rPr>
        <w:t>MOSATT Proceedings on the Modern Safety Technologies in Transportation</w:t>
      </w:r>
      <w:r w:rsidRPr="002F7862">
        <w:rPr>
          <w:b w:val="0"/>
          <w:lang w:val="en-GB"/>
        </w:rPr>
        <w:t xml:space="preserve">, </w:t>
      </w:r>
      <w:r w:rsidR="00B671A0" w:rsidRPr="002F7862">
        <w:rPr>
          <w:b w:val="0"/>
          <w:lang w:val="en-GB"/>
        </w:rPr>
        <w:t>Kosice, Slovakia,</w:t>
      </w:r>
      <w:r w:rsidR="001B11B8" w:rsidRPr="002F7862">
        <w:rPr>
          <w:b w:val="0"/>
          <w:lang w:val="en-GB"/>
        </w:rPr>
        <w:t xml:space="preserve"> </w:t>
      </w:r>
      <w:r w:rsidR="00934F2B" w:rsidRPr="002F7862">
        <w:rPr>
          <w:b w:val="0"/>
          <w:lang w:val="en-GB"/>
        </w:rPr>
        <w:t>(</w:t>
      </w:r>
      <w:r w:rsidRPr="002F7862">
        <w:rPr>
          <w:b w:val="0"/>
          <w:lang w:val="en-GB"/>
        </w:rPr>
        <w:t>2005</w:t>
      </w:r>
      <w:r w:rsidR="00934F2B" w:rsidRPr="002F7862">
        <w:rPr>
          <w:b w:val="0"/>
          <w:lang w:val="en-GB"/>
        </w:rPr>
        <w:t>)</w:t>
      </w:r>
      <w:r w:rsidRPr="002F7862">
        <w:rPr>
          <w:b w:val="0"/>
          <w:lang w:val="en-GB"/>
        </w:rPr>
        <w:t>,</w:t>
      </w:r>
      <w:r w:rsidRPr="002F7862">
        <w:rPr>
          <w:b w:val="0"/>
          <w:iCs/>
          <w:lang w:val="en-GB"/>
        </w:rPr>
        <w:t xml:space="preserve"> p</w:t>
      </w:r>
      <w:r w:rsidR="00B671A0" w:rsidRPr="002F7862">
        <w:rPr>
          <w:b w:val="0"/>
          <w:lang w:val="en-GB"/>
        </w:rPr>
        <w:t>p. 410–413.</w:t>
      </w:r>
      <w:bookmarkEnd w:id="3"/>
    </w:p>
    <w:p w:rsidR="00B671A0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Governmental and administration organizations</w:t>
      </w:r>
      <w:r w:rsidR="00B671A0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B671A0" w:rsidRPr="002F7862" w:rsidRDefault="00B671A0" w:rsidP="00934F2B">
      <w:pPr>
        <w:pStyle w:val="ReferencesKUKG"/>
        <w:rPr>
          <w:b w:val="0"/>
          <w:lang w:val="en-GB"/>
        </w:rPr>
      </w:pPr>
      <w:proofErr w:type="spellStart"/>
      <w:r w:rsidRPr="002F7862">
        <w:rPr>
          <w:b w:val="0"/>
          <w:i/>
          <w:lang w:val="en-GB"/>
        </w:rPr>
        <w:t>Munkaügyi</w:t>
      </w:r>
      <w:proofErr w:type="spellEnd"/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b w:val="0"/>
          <w:i/>
          <w:lang w:val="en-GB"/>
        </w:rPr>
        <w:t>Minisztérium</w:t>
      </w:r>
      <w:proofErr w:type="spellEnd"/>
      <w:r w:rsidR="009462AA" w:rsidRPr="002F7862">
        <w:rPr>
          <w:b w:val="0"/>
          <w:i/>
          <w:lang w:val="en-GB"/>
        </w:rPr>
        <w:t>,</w:t>
      </w:r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b w:val="0"/>
          <w:i/>
          <w:lang w:val="en-GB"/>
        </w:rPr>
        <w:t>Humánpolitikai</w:t>
      </w:r>
      <w:proofErr w:type="spellEnd"/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b w:val="0"/>
          <w:i/>
          <w:lang w:val="en-GB"/>
        </w:rPr>
        <w:t>Osztály</w:t>
      </w:r>
      <w:proofErr w:type="spellEnd"/>
      <w:r w:rsidR="009462AA" w:rsidRPr="002F7862">
        <w:rPr>
          <w:b w:val="0"/>
          <w:i/>
          <w:lang w:val="en-GB"/>
        </w:rPr>
        <w:t>.</w:t>
      </w:r>
      <w:r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lang w:val="en-GB"/>
        </w:rPr>
        <w:t>Jelentés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az</w:t>
      </w:r>
      <w:proofErr w:type="spellEnd"/>
      <w:r w:rsidRPr="002F7862">
        <w:rPr>
          <w:lang w:val="en-GB"/>
        </w:rPr>
        <w:t xml:space="preserve"> 1998. </w:t>
      </w:r>
      <w:proofErr w:type="spellStart"/>
      <w:r w:rsidRPr="002F7862">
        <w:rPr>
          <w:lang w:val="en-GB"/>
        </w:rPr>
        <w:t>évi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munka-nélküliségi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ráta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alakulásáról</w:t>
      </w:r>
      <w:proofErr w:type="spellEnd"/>
      <w:r w:rsidRPr="002F7862">
        <w:rPr>
          <w:lang w:val="en-GB"/>
        </w:rPr>
        <w:t>.</w:t>
      </w:r>
      <w:r w:rsidR="0010245F" w:rsidRPr="002F7862">
        <w:rPr>
          <w:b w:val="0"/>
          <w:lang w:val="en-GB"/>
        </w:rPr>
        <w:t xml:space="preserve"> (MM-HO.1999 /348). Budapest, </w:t>
      </w:r>
      <w:r w:rsidRPr="002F7862">
        <w:rPr>
          <w:b w:val="0"/>
          <w:lang w:val="en-GB"/>
        </w:rPr>
        <w:t xml:space="preserve">MM, </w:t>
      </w:r>
      <w:r w:rsidR="00934F2B" w:rsidRPr="002F7862">
        <w:rPr>
          <w:b w:val="0"/>
          <w:lang w:val="en-GB"/>
        </w:rPr>
        <w:t>(</w:t>
      </w:r>
      <w:r w:rsidRPr="002F7862">
        <w:rPr>
          <w:b w:val="0"/>
          <w:lang w:val="en-GB"/>
        </w:rPr>
        <w:t>1999</w:t>
      </w:r>
      <w:r w:rsidR="00934F2B" w:rsidRPr="002F7862">
        <w:rPr>
          <w:b w:val="0"/>
          <w:lang w:val="en-GB"/>
        </w:rPr>
        <w:t>)</w:t>
      </w:r>
      <w:r w:rsidRPr="002F7862">
        <w:rPr>
          <w:b w:val="0"/>
          <w:lang w:val="en-GB"/>
        </w:rPr>
        <w:t xml:space="preserve"> pp. 32-41.</w:t>
      </w:r>
    </w:p>
    <w:p w:rsidR="00B671A0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Research reports</w:t>
      </w:r>
      <w:r w:rsidR="00B671A0" w:rsidRPr="002F7862">
        <w:rPr>
          <w:rFonts w:asciiTheme="majorHAnsi" w:hAnsiTheme="majorHAnsi"/>
          <w:b/>
          <w:i/>
          <w:sz w:val="28"/>
          <w:szCs w:val="28"/>
          <w:lang w:val="en-GB"/>
        </w:rPr>
        <w:t>:</w:t>
      </w:r>
    </w:p>
    <w:p w:rsidR="00B671A0" w:rsidRPr="002F7862" w:rsidRDefault="0010245F" w:rsidP="00934F2B">
      <w:pPr>
        <w:pStyle w:val="ReferencesKUKG"/>
        <w:rPr>
          <w:b w:val="0"/>
          <w:lang w:val="en-GB"/>
        </w:rPr>
      </w:pPr>
      <w:bookmarkStart w:id="4" w:name="_Ref381196877"/>
      <w:proofErr w:type="spellStart"/>
      <w:r w:rsidRPr="002F7862">
        <w:rPr>
          <w:b w:val="0"/>
          <w:i/>
          <w:lang w:val="en-GB"/>
        </w:rPr>
        <w:t>Békefi</w:t>
      </w:r>
      <w:proofErr w:type="spellEnd"/>
      <w:r w:rsidRPr="002F7862">
        <w:rPr>
          <w:b w:val="0"/>
          <w:i/>
          <w:lang w:val="en-GB"/>
        </w:rPr>
        <w:t xml:space="preserve"> Mihály [et. al.]</w:t>
      </w:r>
      <w:r w:rsidR="00B671A0" w:rsidRPr="002F7862">
        <w:rPr>
          <w:b w:val="0"/>
          <w:i/>
          <w:lang w:val="en-GB"/>
        </w:rPr>
        <w:t xml:space="preserve"> </w:t>
      </w:r>
      <w:proofErr w:type="spellStart"/>
      <w:r w:rsidRPr="002F7862">
        <w:rPr>
          <w:lang w:val="en-GB"/>
        </w:rPr>
        <w:t>Az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ágazati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hatékonyság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értelmezése</w:t>
      </w:r>
      <w:proofErr w:type="spellEnd"/>
      <w:r w:rsidRPr="002F7862">
        <w:rPr>
          <w:lang w:val="en-GB"/>
        </w:rPr>
        <w:t xml:space="preserve"> a </w:t>
      </w:r>
      <w:proofErr w:type="spellStart"/>
      <w:r w:rsidRPr="002F7862">
        <w:rPr>
          <w:lang w:val="en-GB"/>
        </w:rPr>
        <w:t>költségtérítés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odaítélésénél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az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autóbusz-közlekedésben</w:t>
      </w:r>
      <w:proofErr w:type="spellEnd"/>
      <w:r w:rsidR="00B671A0" w:rsidRPr="002F7862">
        <w:rPr>
          <w:lang w:val="en-GB"/>
        </w:rPr>
        <w:t>.</w:t>
      </w:r>
      <w:r w:rsidR="00B671A0" w:rsidRPr="002F7862">
        <w:rPr>
          <w:b w:val="0"/>
          <w:lang w:val="en-GB"/>
        </w:rPr>
        <w:t xml:space="preserve"> (</w:t>
      </w:r>
      <w:r w:rsidRPr="002F7862">
        <w:rPr>
          <w:b w:val="0"/>
          <w:lang w:val="en-GB"/>
        </w:rPr>
        <w:t>KTI 271-8-043</w:t>
      </w:r>
      <w:r w:rsidR="00B671A0" w:rsidRPr="002F7862">
        <w:rPr>
          <w:b w:val="0"/>
          <w:lang w:val="en-GB"/>
        </w:rPr>
        <w:t xml:space="preserve">). Budapest, </w:t>
      </w:r>
      <w:r w:rsidRPr="002F7862">
        <w:rPr>
          <w:b w:val="0"/>
          <w:lang w:val="en-GB"/>
        </w:rPr>
        <w:t>KTI Non-Profit Kft.</w:t>
      </w:r>
      <w:r w:rsidR="00B671A0" w:rsidRPr="002F7862">
        <w:rPr>
          <w:b w:val="0"/>
          <w:lang w:val="en-GB"/>
        </w:rPr>
        <w:t xml:space="preserve">, </w:t>
      </w:r>
      <w:r w:rsidR="00934F2B" w:rsidRPr="002F7862">
        <w:rPr>
          <w:b w:val="0"/>
          <w:lang w:val="en-GB"/>
        </w:rPr>
        <w:t>(</w:t>
      </w:r>
      <w:r w:rsidRPr="002F7862">
        <w:rPr>
          <w:b w:val="0"/>
          <w:lang w:val="en-GB"/>
        </w:rPr>
        <w:t>2009</w:t>
      </w:r>
      <w:r w:rsidR="00934F2B" w:rsidRPr="002F7862">
        <w:rPr>
          <w:b w:val="0"/>
          <w:lang w:val="en-GB"/>
        </w:rPr>
        <w:t>)</w:t>
      </w:r>
      <w:r w:rsidR="00B671A0" w:rsidRPr="002F7862">
        <w:rPr>
          <w:b w:val="0"/>
          <w:lang w:val="en-GB"/>
        </w:rPr>
        <w:t xml:space="preserve"> pp. </w:t>
      </w:r>
      <w:r w:rsidRPr="002F7862">
        <w:rPr>
          <w:b w:val="0"/>
          <w:lang w:val="en-GB"/>
        </w:rPr>
        <w:t>19</w:t>
      </w:r>
      <w:r w:rsidR="00B671A0" w:rsidRPr="002F7862">
        <w:rPr>
          <w:b w:val="0"/>
          <w:lang w:val="en-GB"/>
        </w:rPr>
        <w:t>-</w:t>
      </w:r>
      <w:r w:rsidRPr="002F7862">
        <w:rPr>
          <w:b w:val="0"/>
          <w:lang w:val="en-GB"/>
        </w:rPr>
        <w:t>22</w:t>
      </w:r>
      <w:r w:rsidR="00B671A0" w:rsidRPr="002F7862">
        <w:rPr>
          <w:b w:val="0"/>
          <w:lang w:val="en-GB"/>
        </w:rPr>
        <w:t>.</w:t>
      </w:r>
      <w:bookmarkEnd w:id="4"/>
    </w:p>
    <w:p w:rsidR="0010245F" w:rsidRPr="002F7862" w:rsidRDefault="00BF5AFF" w:rsidP="00975AD0">
      <w:pPr>
        <w:spacing w:before="360" w:after="240"/>
        <w:rPr>
          <w:rFonts w:asciiTheme="majorHAnsi" w:hAnsiTheme="majorHAnsi"/>
          <w:b/>
          <w:i/>
          <w:sz w:val="28"/>
          <w:szCs w:val="28"/>
          <w:lang w:val="en-GB"/>
        </w:rPr>
      </w:pPr>
      <w:r>
        <w:rPr>
          <w:rFonts w:asciiTheme="majorHAnsi" w:hAnsiTheme="majorHAnsi"/>
          <w:b/>
          <w:i/>
          <w:sz w:val="28"/>
          <w:szCs w:val="28"/>
          <w:lang w:val="en-GB"/>
        </w:rPr>
        <w:t>Elec</w:t>
      </w:r>
      <w:r w:rsidR="0010245F" w:rsidRPr="002F7862">
        <w:rPr>
          <w:rFonts w:asciiTheme="majorHAnsi" w:hAnsiTheme="majorHAnsi"/>
          <w:b/>
          <w:i/>
          <w:sz w:val="28"/>
          <w:szCs w:val="28"/>
          <w:lang w:val="en-GB"/>
        </w:rPr>
        <w:t>troni</w:t>
      </w:r>
      <w:r>
        <w:rPr>
          <w:rFonts w:asciiTheme="majorHAnsi" w:hAnsiTheme="majorHAnsi"/>
          <w:b/>
          <w:i/>
          <w:sz w:val="28"/>
          <w:szCs w:val="28"/>
          <w:lang w:val="en-GB"/>
        </w:rPr>
        <w:t xml:space="preserve">c </w:t>
      </w:r>
      <w:r w:rsidR="0010245F" w:rsidRPr="002F7862">
        <w:rPr>
          <w:rFonts w:asciiTheme="majorHAnsi" w:hAnsiTheme="majorHAnsi"/>
          <w:b/>
          <w:i/>
          <w:sz w:val="28"/>
          <w:szCs w:val="28"/>
          <w:lang w:val="en-GB"/>
        </w:rPr>
        <w:t>do</w:t>
      </w:r>
      <w:r>
        <w:rPr>
          <w:rFonts w:asciiTheme="majorHAnsi" w:hAnsiTheme="majorHAnsi"/>
          <w:b/>
          <w:i/>
          <w:sz w:val="28"/>
          <w:szCs w:val="28"/>
          <w:lang w:val="en-GB"/>
        </w:rPr>
        <w:t>c</w:t>
      </w:r>
      <w:r w:rsidR="0010245F" w:rsidRPr="002F7862">
        <w:rPr>
          <w:rFonts w:asciiTheme="majorHAnsi" w:hAnsiTheme="majorHAnsi"/>
          <w:b/>
          <w:i/>
          <w:sz w:val="28"/>
          <w:szCs w:val="28"/>
          <w:lang w:val="en-GB"/>
        </w:rPr>
        <w:t>ument</w:t>
      </w:r>
      <w:r>
        <w:rPr>
          <w:rFonts w:asciiTheme="majorHAnsi" w:hAnsiTheme="majorHAnsi"/>
          <w:b/>
          <w:i/>
          <w:sz w:val="28"/>
          <w:szCs w:val="28"/>
          <w:lang w:val="en-GB"/>
        </w:rPr>
        <w:t>s:</w:t>
      </w:r>
    </w:p>
    <w:p w:rsidR="0010245F" w:rsidRPr="002F7862" w:rsidRDefault="0010245F" w:rsidP="00934F2B">
      <w:pPr>
        <w:pStyle w:val="ReferencesKUKG"/>
        <w:rPr>
          <w:b w:val="0"/>
          <w:lang w:val="en-GB"/>
        </w:rPr>
      </w:pPr>
      <w:r w:rsidRPr="002F7862">
        <w:rPr>
          <w:b w:val="0"/>
          <w:i/>
          <w:lang w:val="en-GB"/>
        </w:rPr>
        <w:t>K</w:t>
      </w:r>
      <w:r w:rsidR="009462AA" w:rsidRPr="002F7862">
        <w:rPr>
          <w:b w:val="0"/>
          <w:i/>
          <w:lang w:val="en-GB"/>
        </w:rPr>
        <w:t>ovács</w:t>
      </w:r>
      <w:r w:rsidRPr="002F7862">
        <w:rPr>
          <w:b w:val="0"/>
          <w:i/>
          <w:lang w:val="en-GB"/>
        </w:rPr>
        <w:t xml:space="preserve"> László</w:t>
      </w:r>
      <w:r w:rsidR="009462AA" w:rsidRPr="002F7862">
        <w:rPr>
          <w:b w:val="0"/>
          <w:i/>
          <w:lang w:val="en-GB"/>
        </w:rPr>
        <w:t>:</w:t>
      </w:r>
      <w:r w:rsidRPr="002F7862">
        <w:rPr>
          <w:b w:val="0"/>
          <w:lang w:val="en-GB"/>
        </w:rPr>
        <w:t xml:space="preserve"> </w:t>
      </w:r>
      <w:r w:rsidRPr="002F7862">
        <w:rPr>
          <w:lang w:val="en-GB"/>
        </w:rPr>
        <w:t xml:space="preserve">NIIFP </w:t>
      </w:r>
      <w:proofErr w:type="spellStart"/>
      <w:r w:rsidRPr="002F7862">
        <w:rPr>
          <w:lang w:val="en-GB"/>
        </w:rPr>
        <w:t>hálózati</w:t>
      </w:r>
      <w:proofErr w:type="spellEnd"/>
      <w:r w:rsidRPr="002F7862">
        <w:rPr>
          <w:lang w:val="en-GB"/>
        </w:rPr>
        <w:t xml:space="preserve"> </w:t>
      </w:r>
      <w:proofErr w:type="spellStart"/>
      <w:r w:rsidRPr="002F7862">
        <w:rPr>
          <w:lang w:val="en-GB"/>
        </w:rPr>
        <w:t>multimédia</w:t>
      </w:r>
      <w:proofErr w:type="spellEnd"/>
      <w:r w:rsidRPr="002F7862">
        <w:rPr>
          <w:lang w:val="en-GB"/>
        </w:rPr>
        <w:t xml:space="preserve"> pilot </w:t>
      </w:r>
      <w:proofErr w:type="spellStart"/>
      <w:r w:rsidRPr="002F7862">
        <w:rPr>
          <w:lang w:val="en-GB"/>
        </w:rPr>
        <w:t>projekt</w:t>
      </w:r>
      <w:proofErr w:type="spellEnd"/>
      <w:r w:rsidRPr="002F7862">
        <w:rPr>
          <w:lang w:val="en-GB"/>
        </w:rPr>
        <w:t>.</w:t>
      </w:r>
      <w:r w:rsidRPr="002F7862">
        <w:rPr>
          <w:b w:val="0"/>
          <w:lang w:val="en-GB"/>
        </w:rPr>
        <w:t xml:space="preserve"> Budapest, </w:t>
      </w:r>
      <w:proofErr w:type="spellStart"/>
      <w:r w:rsidRPr="002F7862">
        <w:rPr>
          <w:b w:val="0"/>
          <w:lang w:val="en-GB"/>
        </w:rPr>
        <w:t>Sztaki</w:t>
      </w:r>
      <w:proofErr w:type="spellEnd"/>
      <w:r w:rsidRPr="002F7862">
        <w:rPr>
          <w:b w:val="0"/>
          <w:lang w:val="en-GB"/>
        </w:rPr>
        <w:t>, (1998) URL: http:// www.sztaki.hu/services /</w:t>
      </w:r>
      <w:proofErr w:type="spellStart"/>
      <w:r w:rsidRPr="002F7862">
        <w:rPr>
          <w:b w:val="0"/>
          <w:lang w:val="en-GB"/>
        </w:rPr>
        <w:t>mbone</w:t>
      </w:r>
      <w:proofErr w:type="spellEnd"/>
      <w:r w:rsidR="00DD5E41">
        <w:rPr>
          <w:b w:val="0"/>
          <w:lang w:val="en-GB"/>
        </w:rPr>
        <w:t xml:space="preserve"> </w:t>
      </w:r>
      <w:r w:rsidR="00DD5E41" w:rsidRPr="00204D95">
        <w:rPr>
          <w:b w:val="0"/>
          <w:lang w:val="en-GB"/>
        </w:rPr>
        <w:t xml:space="preserve">(access on </w:t>
      </w:r>
      <w:r w:rsidR="00DD5E41">
        <w:rPr>
          <w:b w:val="0"/>
          <w:lang w:val="en-GB"/>
        </w:rPr>
        <w:t>7</w:t>
      </w:r>
      <w:r w:rsidR="00DD5E41" w:rsidRPr="00204D95">
        <w:rPr>
          <w:b w:val="0"/>
          <w:vertAlign w:val="superscript"/>
          <w:lang w:val="en-GB"/>
        </w:rPr>
        <w:t>th</w:t>
      </w:r>
      <w:r w:rsidR="00DD5E41" w:rsidRPr="00204D95">
        <w:rPr>
          <w:b w:val="0"/>
          <w:lang w:val="en-GB"/>
        </w:rPr>
        <w:t xml:space="preserve"> February, 201</w:t>
      </w:r>
      <w:r w:rsidR="00DD5E41">
        <w:rPr>
          <w:b w:val="0"/>
          <w:lang w:val="en-GB"/>
        </w:rPr>
        <w:t>4</w:t>
      </w:r>
      <w:r w:rsidR="00DD5E41" w:rsidRPr="00204D95">
        <w:rPr>
          <w:b w:val="0"/>
          <w:lang w:val="en-GB"/>
        </w:rPr>
        <w:t>)</w:t>
      </w:r>
    </w:p>
    <w:p w:rsidR="00726F5F" w:rsidRPr="00204D95" w:rsidRDefault="00BF5AFF" w:rsidP="00BF5AFF">
      <w:pPr>
        <w:pStyle w:val="ReferencesKUKG"/>
        <w:rPr>
          <w:b w:val="0"/>
          <w:lang w:val="en-GB"/>
        </w:rPr>
      </w:pPr>
      <w:r w:rsidRPr="00204D95">
        <w:rPr>
          <w:lang w:val="en-GB"/>
        </w:rPr>
        <w:t>History of the tram in Budapest.</w:t>
      </w:r>
      <w:r w:rsidR="00726F5F" w:rsidRPr="00204D95">
        <w:rPr>
          <w:lang w:val="en-GB"/>
        </w:rPr>
        <w:t xml:space="preserve"> </w:t>
      </w:r>
      <w:r w:rsidRPr="00204D95">
        <w:rPr>
          <w:b w:val="0"/>
          <w:lang w:val="en-GB"/>
        </w:rPr>
        <w:t>http://hampage</w:t>
      </w:r>
      <w:r w:rsidRPr="00BF5AFF">
        <w:rPr>
          <w:b w:val="0"/>
          <w:lang w:val="en-GB"/>
        </w:rPr>
        <w:t>.hu/trams/e_index.html</w:t>
      </w:r>
      <w:r w:rsidR="00726F5F" w:rsidRPr="00204D95">
        <w:rPr>
          <w:b w:val="0"/>
          <w:lang w:val="en-GB"/>
        </w:rPr>
        <w:t xml:space="preserve">, </w:t>
      </w:r>
      <w:r w:rsidR="001B11B8" w:rsidRPr="00204D95">
        <w:rPr>
          <w:b w:val="0"/>
          <w:lang w:val="en-GB"/>
        </w:rPr>
        <w:t>(</w:t>
      </w:r>
      <w:r w:rsidRPr="00204D95">
        <w:rPr>
          <w:b w:val="0"/>
          <w:lang w:val="en-GB"/>
        </w:rPr>
        <w:t xml:space="preserve">access on </w:t>
      </w:r>
      <w:r w:rsidR="00DD5E41">
        <w:rPr>
          <w:b w:val="0"/>
          <w:lang w:val="en-GB"/>
        </w:rPr>
        <w:t>11</w:t>
      </w:r>
      <w:r w:rsidRPr="00204D95">
        <w:rPr>
          <w:b w:val="0"/>
          <w:vertAlign w:val="superscript"/>
          <w:lang w:val="en-GB"/>
        </w:rPr>
        <w:t>th</w:t>
      </w:r>
      <w:r w:rsidRPr="00204D95">
        <w:rPr>
          <w:b w:val="0"/>
          <w:lang w:val="en-GB"/>
        </w:rPr>
        <w:t xml:space="preserve"> February,</w:t>
      </w:r>
      <w:r w:rsidR="00726F5F" w:rsidRPr="00204D95">
        <w:rPr>
          <w:b w:val="0"/>
          <w:lang w:val="en-GB"/>
        </w:rPr>
        <w:t xml:space="preserve"> </w:t>
      </w:r>
      <w:r w:rsidR="001B11B8" w:rsidRPr="00204D95">
        <w:rPr>
          <w:b w:val="0"/>
          <w:lang w:val="en-GB"/>
        </w:rPr>
        <w:t>20</w:t>
      </w:r>
      <w:r w:rsidR="00DD5E41">
        <w:rPr>
          <w:b w:val="0"/>
          <w:lang w:val="en-GB"/>
        </w:rPr>
        <w:t>22</w:t>
      </w:r>
      <w:r w:rsidR="001B11B8" w:rsidRPr="00204D95">
        <w:rPr>
          <w:b w:val="0"/>
          <w:lang w:val="en-GB"/>
        </w:rPr>
        <w:t>)</w:t>
      </w:r>
    </w:p>
    <w:p w:rsidR="005F0C51" w:rsidRPr="002F7862" w:rsidRDefault="005F0C51" w:rsidP="00204D95">
      <w:pPr>
        <w:pStyle w:val="Cmsor1"/>
        <w:numPr>
          <w:ilvl w:val="0"/>
          <w:numId w:val="0"/>
        </w:numPr>
        <w:rPr>
          <w:lang w:val="en-GB"/>
        </w:rPr>
      </w:pPr>
    </w:p>
    <w:sectPr w:rsidR="005F0C51" w:rsidRPr="002F7862" w:rsidSect="00A31416">
      <w:footerReference w:type="default" r:id="rId13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5B" w:rsidRDefault="00575B5B">
      <w:r>
        <w:separator/>
      </w:r>
    </w:p>
  </w:endnote>
  <w:endnote w:type="continuationSeparator" w:id="0">
    <w:p w:rsidR="00575B5B" w:rsidRDefault="0057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A0" w:rsidRPr="001B11B8" w:rsidRDefault="00B671A0" w:rsidP="00F662AF">
    <w:pPr>
      <w:jc w:val="center"/>
      <w:rPr>
        <w:szCs w:val="20"/>
      </w:rPr>
    </w:pPr>
    <w:r w:rsidRPr="001B11B8">
      <w:rPr>
        <w:rStyle w:val="Oldalszm"/>
        <w:szCs w:val="20"/>
      </w:rPr>
      <w:fldChar w:fldCharType="begin"/>
    </w:r>
    <w:r w:rsidRPr="001B11B8">
      <w:rPr>
        <w:rStyle w:val="Oldalszm"/>
        <w:szCs w:val="20"/>
      </w:rPr>
      <w:instrText xml:space="preserve"> PAGE </w:instrText>
    </w:r>
    <w:r w:rsidRPr="001B11B8">
      <w:rPr>
        <w:rStyle w:val="Oldalszm"/>
        <w:szCs w:val="20"/>
      </w:rPr>
      <w:fldChar w:fldCharType="separate"/>
    </w:r>
    <w:r w:rsidR="00DD5E41">
      <w:rPr>
        <w:rStyle w:val="Oldalszm"/>
        <w:noProof/>
        <w:szCs w:val="20"/>
      </w:rPr>
      <w:t>8</w:t>
    </w:r>
    <w:r w:rsidRPr="001B11B8">
      <w:rPr>
        <w:rStyle w:val="Oldalszm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5B" w:rsidRDefault="00575B5B">
      <w:r>
        <w:separator/>
      </w:r>
    </w:p>
  </w:footnote>
  <w:footnote w:type="continuationSeparator" w:id="0">
    <w:p w:rsidR="00575B5B" w:rsidRDefault="0057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233"/>
    <w:multiLevelType w:val="multilevel"/>
    <w:tmpl w:val="63DA34CC"/>
    <w:numStyleLink w:val="Stlus1"/>
  </w:abstractNum>
  <w:abstractNum w:abstractNumId="1" w15:restartNumberingAfterBreak="0">
    <w:nsid w:val="040B4CC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69636E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CDA3D96"/>
    <w:multiLevelType w:val="multilevel"/>
    <w:tmpl w:val="19205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B61DFB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333D3E"/>
    <w:multiLevelType w:val="hybridMultilevel"/>
    <w:tmpl w:val="2494BDFC"/>
    <w:lvl w:ilvl="0" w:tplc="23C6C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3E6"/>
    <w:multiLevelType w:val="hybridMultilevel"/>
    <w:tmpl w:val="C794FDF2"/>
    <w:lvl w:ilvl="0" w:tplc="CB3A0F30">
      <w:start w:val="1"/>
      <w:numFmt w:val="decimal"/>
      <w:pStyle w:val="ReferencesKUKG"/>
      <w:lvlText w:val="[%1]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95731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136EB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CD207F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E6B5BA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1BD2AAC"/>
    <w:multiLevelType w:val="multilevel"/>
    <w:tmpl w:val="63DA34CC"/>
    <w:styleLink w:val="Stlus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F27FF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A1953C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A04154"/>
    <w:multiLevelType w:val="multilevel"/>
    <w:tmpl w:val="B91CE1A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C712389"/>
    <w:multiLevelType w:val="hybridMultilevel"/>
    <w:tmpl w:val="E75AE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7BF4"/>
    <w:multiLevelType w:val="hybridMultilevel"/>
    <w:tmpl w:val="2D72BD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2F2332"/>
    <w:multiLevelType w:val="multilevel"/>
    <w:tmpl w:val="E288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D472D5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35B620D"/>
    <w:multiLevelType w:val="hybridMultilevel"/>
    <w:tmpl w:val="8D6E27DC"/>
    <w:lvl w:ilvl="0" w:tplc="8FF2B2B4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C6A70"/>
    <w:multiLevelType w:val="hybridMultilevel"/>
    <w:tmpl w:val="44340462"/>
    <w:lvl w:ilvl="0" w:tplc="CEB802D4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9568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E4CA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FFD52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FFE0335"/>
    <w:multiLevelType w:val="hybridMultilevel"/>
    <w:tmpl w:val="6F58F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23"/>
  </w:num>
  <w:num w:numId="8">
    <w:abstractNumId w:val="13"/>
  </w:num>
  <w:num w:numId="9">
    <w:abstractNumId w:val="21"/>
  </w:num>
  <w:num w:numId="10">
    <w:abstractNumId w:val="1"/>
  </w:num>
  <w:num w:numId="11">
    <w:abstractNumId w:val="10"/>
  </w:num>
  <w:num w:numId="12">
    <w:abstractNumId w:val="7"/>
  </w:num>
  <w:num w:numId="13">
    <w:abstractNumId w:val="22"/>
  </w:num>
  <w:num w:numId="14">
    <w:abstractNumId w:val="18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.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 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 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5"/>
  </w:num>
  <w:num w:numId="23">
    <w:abstractNumId w:val="6"/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822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Cmsor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Cmsor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Cmsor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Cmsor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Cmsor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Cmsor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11"/>
  </w:num>
  <w:num w:numId="26">
    <w:abstractNumId w:val="0"/>
  </w:num>
  <w:num w:numId="27">
    <w:abstractNumId w:val="2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F1"/>
    <w:rsid w:val="000049E5"/>
    <w:rsid w:val="0002043D"/>
    <w:rsid w:val="0003109E"/>
    <w:rsid w:val="00037D3C"/>
    <w:rsid w:val="00045F53"/>
    <w:rsid w:val="00050A20"/>
    <w:rsid w:val="000546A9"/>
    <w:rsid w:val="00055D1B"/>
    <w:rsid w:val="00056712"/>
    <w:rsid w:val="00086D1A"/>
    <w:rsid w:val="0008788F"/>
    <w:rsid w:val="00087AF0"/>
    <w:rsid w:val="00087FB3"/>
    <w:rsid w:val="000A6F1E"/>
    <w:rsid w:val="000D6001"/>
    <w:rsid w:val="000E474E"/>
    <w:rsid w:val="000E746A"/>
    <w:rsid w:val="000F3077"/>
    <w:rsid w:val="000F631B"/>
    <w:rsid w:val="0010245F"/>
    <w:rsid w:val="0011023D"/>
    <w:rsid w:val="001119E1"/>
    <w:rsid w:val="00123249"/>
    <w:rsid w:val="00124C6A"/>
    <w:rsid w:val="00125B83"/>
    <w:rsid w:val="0013585F"/>
    <w:rsid w:val="00152375"/>
    <w:rsid w:val="00157DF8"/>
    <w:rsid w:val="00161B9E"/>
    <w:rsid w:val="00165404"/>
    <w:rsid w:val="00171B3F"/>
    <w:rsid w:val="00183486"/>
    <w:rsid w:val="00190236"/>
    <w:rsid w:val="00190989"/>
    <w:rsid w:val="0019145B"/>
    <w:rsid w:val="001937EF"/>
    <w:rsid w:val="001B11B8"/>
    <w:rsid w:val="001C1ADF"/>
    <w:rsid w:val="001D1C4F"/>
    <w:rsid w:val="001D443D"/>
    <w:rsid w:val="001D5D37"/>
    <w:rsid w:val="001F7284"/>
    <w:rsid w:val="00204D95"/>
    <w:rsid w:val="002106A4"/>
    <w:rsid w:val="0021366D"/>
    <w:rsid w:val="00216009"/>
    <w:rsid w:val="002161D8"/>
    <w:rsid w:val="00224629"/>
    <w:rsid w:val="00232999"/>
    <w:rsid w:val="00241E8F"/>
    <w:rsid w:val="002421C9"/>
    <w:rsid w:val="00253740"/>
    <w:rsid w:val="00253B3F"/>
    <w:rsid w:val="00262FC7"/>
    <w:rsid w:val="00264917"/>
    <w:rsid w:val="0026666C"/>
    <w:rsid w:val="00267F0B"/>
    <w:rsid w:val="0027462C"/>
    <w:rsid w:val="0028099E"/>
    <w:rsid w:val="00290A2C"/>
    <w:rsid w:val="00295AEE"/>
    <w:rsid w:val="002A4660"/>
    <w:rsid w:val="002A49CD"/>
    <w:rsid w:val="002A4F04"/>
    <w:rsid w:val="002A69B3"/>
    <w:rsid w:val="002C0EB0"/>
    <w:rsid w:val="002C1E5F"/>
    <w:rsid w:val="002C5641"/>
    <w:rsid w:val="002D43D5"/>
    <w:rsid w:val="002D556F"/>
    <w:rsid w:val="002E5130"/>
    <w:rsid w:val="002F7862"/>
    <w:rsid w:val="003049AE"/>
    <w:rsid w:val="00312D62"/>
    <w:rsid w:val="003262BB"/>
    <w:rsid w:val="00333144"/>
    <w:rsid w:val="0033719F"/>
    <w:rsid w:val="00337278"/>
    <w:rsid w:val="00342070"/>
    <w:rsid w:val="00346E93"/>
    <w:rsid w:val="00351387"/>
    <w:rsid w:val="00354A2D"/>
    <w:rsid w:val="00371645"/>
    <w:rsid w:val="0037362D"/>
    <w:rsid w:val="003A4CB4"/>
    <w:rsid w:val="003A6832"/>
    <w:rsid w:val="003B2A99"/>
    <w:rsid w:val="003B5889"/>
    <w:rsid w:val="003B6523"/>
    <w:rsid w:val="003B6876"/>
    <w:rsid w:val="003D5424"/>
    <w:rsid w:val="003D58F3"/>
    <w:rsid w:val="003D5FD8"/>
    <w:rsid w:val="003E50D7"/>
    <w:rsid w:val="003F00B7"/>
    <w:rsid w:val="003F00BA"/>
    <w:rsid w:val="003F0966"/>
    <w:rsid w:val="003F3653"/>
    <w:rsid w:val="004227D8"/>
    <w:rsid w:val="004330A1"/>
    <w:rsid w:val="004367FC"/>
    <w:rsid w:val="004421C2"/>
    <w:rsid w:val="004475E2"/>
    <w:rsid w:val="00467DAE"/>
    <w:rsid w:val="00473441"/>
    <w:rsid w:val="00477584"/>
    <w:rsid w:val="00493848"/>
    <w:rsid w:val="004C3738"/>
    <w:rsid w:val="004D1056"/>
    <w:rsid w:val="004E3A9B"/>
    <w:rsid w:val="004E6F71"/>
    <w:rsid w:val="0051302A"/>
    <w:rsid w:val="00517C18"/>
    <w:rsid w:val="00523959"/>
    <w:rsid w:val="005247BB"/>
    <w:rsid w:val="00524E81"/>
    <w:rsid w:val="005257D5"/>
    <w:rsid w:val="00535395"/>
    <w:rsid w:val="00546157"/>
    <w:rsid w:val="005466E3"/>
    <w:rsid w:val="00551C8F"/>
    <w:rsid w:val="0055470B"/>
    <w:rsid w:val="00563941"/>
    <w:rsid w:val="005664ED"/>
    <w:rsid w:val="00575B5B"/>
    <w:rsid w:val="00580FD1"/>
    <w:rsid w:val="0058266E"/>
    <w:rsid w:val="005A6ED8"/>
    <w:rsid w:val="005C6509"/>
    <w:rsid w:val="005C702F"/>
    <w:rsid w:val="005C7DAD"/>
    <w:rsid w:val="005E7927"/>
    <w:rsid w:val="005F0C51"/>
    <w:rsid w:val="005F15F3"/>
    <w:rsid w:val="005F2A24"/>
    <w:rsid w:val="005F527D"/>
    <w:rsid w:val="00606849"/>
    <w:rsid w:val="00614478"/>
    <w:rsid w:val="00622654"/>
    <w:rsid w:val="00632A5F"/>
    <w:rsid w:val="00641BE8"/>
    <w:rsid w:val="00641F7A"/>
    <w:rsid w:val="006437FC"/>
    <w:rsid w:val="00654E50"/>
    <w:rsid w:val="00655961"/>
    <w:rsid w:val="00661F1E"/>
    <w:rsid w:val="00673302"/>
    <w:rsid w:val="00674C54"/>
    <w:rsid w:val="0067590E"/>
    <w:rsid w:val="006824A1"/>
    <w:rsid w:val="00685B3A"/>
    <w:rsid w:val="00693103"/>
    <w:rsid w:val="006949BD"/>
    <w:rsid w:val="006A2E51"/>
    <w:rsid w:val="006B3D06"/>
    <w:rsid w:val="006B6450"/>
    <w:rsid w:val="006C1DF0"/>
    <w:rsid w:val="006C6DF8"/>
    <w:rsid w:val="006D42BD"/>
    <w:rsid w:val="006D74E3"/>
    <w:rsid w:val="006F1574"/>
    <w:rsid w:val="006F2C11"/>
    <w:rsid w:val="007055B3"/>
    <w:rsid w:val="00713938"/>
    <w:rsid w:val="00724D1D"/>
    <w:rsid w:val="00726A63"/>
    <w:rsid w:val="00726F5F"/>
    <w:rsid w:val="00737E2F"/>
    <w:rsid w:val="00741B5D"/>
    <w:rsid w:val="007429C7"/>
    <w:rsid w:val="007778AA"/>
    <w:rsid w:val="00780738"/>
    <w:rsid w:val="007923AA"/>
    <w:rsid w:val="0079390C"/>
    <w:rsid w:val="007A0233"/>
    <w:rsid w:val="007A09F7"/>
    <w:rsid w:val="007A11F2"/>
    <w:rsid w:val="007A7901"/>
    <w:rsid w:val="007B6A1D"/>
    <w:rsid w:val="007C75C5"/>
    <w:rsid w:val="007D7490"/>
    <w:rsid w:val="007E484B"/>
    <w:rsid w:val="007F7D1E"/>
    <w:rsid w:val="00805315"/>
    <w:rsid w:val="00816DE9"/>
    <w:rsid w:val="008224A7"/>
    <w:rsid w:val="00822738"/>
    <w:rsid w:val="00823518"/>
    <w:rsid w:val="008310B3"/>
    <w:rsid w:val="008332CF"/>
    <w:rsid w:val="00836B8C"/>
    <w:rsid w:val="0084098C"/>
    <w:rsid w:val="00847B28"/>
    <w:rsid w:val="00847C7C"/>
    <w:rsid w:val="0085242E"/>
    <w:rsid w:val="008529F1"/>
    <w:rsid w:val="008702B2"/>
    <w:rsid w:val="00871DD5"/>
    <w:rsid w:val="00872C92"/>
    <w:rsid w:val="00873383"/>
    <w:rsid w:val="0088500F"/>
    <w:rsid w:val="008A1EFF"/>
    <w:rsid w:val="008A64E8"/>
    <w:rsid w:val="008D1D8D"/>
    <w:rsid w:val="008E0AEE"/>
    <w:rsid w:val="008E1C8B"/>
    <w:rsid w:val="008E2BA5"/>
    <w:rsid w:val="008E7EC8"/>
    <w:rsid w:val="009075FB"/>
    <w:rsid w:val="00916DF5"/>
    <w:rsid w:val="00921629"/>
    <w:rsid w:val="00934F2B"/>
    <w:rsid w:val="009365E6"/>
    <w:rsid w:val="00942D11"/>
    <w:rsid w:val="00945D73"/>
    <w:rsid w:val="009462AA"/>
    <w:rsid w:val="009572AF"/>
    <w:rsid w:val="00957B45"/>
    <w:rsid w:val="00961C27"/>
    <w:rsid w:val="00975AD0"/>
    <w:rsid w:val="00986DBF"/>
    <w:rsid w:val="00987712"/>
    <w:rsid w:val="00992ECA"/>
    <w:rsid w:val="00994BE4"/>
    <w:rsid w:val="00997D92"/>
    <w:rsid w:val="009A04AD"/>
    <w:rsid w:val="009A632E"/>
    <w:rsid w:val="009B0985"/>
    <w:rsid w:val="009B1279"/>
    <w:rsid w:val="009B3D76"/>
    <w:rsid w:val="009D4494"/>
    <w:rsid w:val="009E6C50"/>
    <w:rsid w:val="009F6B15"/>
    <w:rsid w:val="00A16BF8"/>
    <w:rsid w:val="00A17324"/>
    <w:rsid w:val="00A263DE"/>
    <w:rsid w:val="00A31416"/>
    <w:rsid w:val="00A40BB9"/>
    <w:rsid w:val="00A6059A"/>
    <w:rsid w:val="00A65A89"/>
    <w:rsid w:val="00A712D7"/>
    <w:rsid w:val="00A73CBB"/>
    <w:rsid w:val="00A7645E"/>
    <w:rsid w:val="00AA1791"/>
    <w:rsid w:val="00AA6E45"/>
    <w:rsid w:val="00AB30F7"/>
    <w:rsid w:val="00AD3479"/>
    <w:rsid w:val="00AE1C37"/>
    <w:rsid w:val="00AE3010"/>
    <w:rsid w:val="00AE5C4A"/>
    <w:rsid w:val="00AF122A"/>
    <w:rsid w:val="00AF4F59"/>
    <w:rsid w:val="00B02D4E"/>
    <w:rsid w:val="00B06A10"/>
    <w:rsid w:val="00B15460"/>
    <w:rsid w:val="00B17CC7"/>
    <w:rsid w:val="00B36716"/>
    <w:rsid w:val="00B36A3A"/>
    <w:rsid w:val="00B4171D"/>
    <w:rsid w:val="00B447CB"/>
    <w:rsid w:val="00B6071F"/>
    <w:rsid w:val="00B671A0"/>
    <w:rsid w:val="00B74BA0"/>
    <w:rsid w:val="00B83833"/>
    <w:rsid w:val="00BB54E3"/>
    <w:rsid w:val="00BD7B77"/>
    <w:rsid w:val="00BF5AFF"/>
    <w:rsid w:val="00C05CF6"/>
    <w:rsid w:val="00C06320"/>
    <w:rsid w:val="00C33081"/>
    <w:rsid w:val="00C470E1"/>
    <w:rsid w:val="00C47A3C"/>
    <w:rsid w:val="00C60823"/>
    <w:rsid w:val="00C623E5"/>
    <w:rsid w:val="00C64A21"/>
    <w:rsid w:val="00C65F82"/>
    <w:rsid w:val="00C77B26"/>
    <w:rsid w:val="00C82E13"/>
    <w:rsid w:val="00C94D84"/>
    <w:rsid w:val="00C96045"/>
    <w:rsid w:val="00CA093C"/>
    <w:rsid w:val="00CA1F6C"/>
    <w:rsid w:val="00CB7BC6"/>
    <w:rsid w:val="00CC5741"/>
    <w:rsid w:val="00CC5C2D"/>
    <w:rsid w:val="00CD1106"/>
    <w:rsid w:val="00CD2BDE"/>
    <w:rsid w:val="00CD713D"/>
    <w:rsid w:val="00CE0A24"/>
    <w:rsid w:val="00CF01DD"/>
    <w:rsid w:val="00CF204A"/>
    <w:rsid w:val="00D03EBA"/>
    <w:rsid w:val="00D1120A"/>
    <w:rsid w:val="00D12ED4"/>
    <w:rsid w:val="00D15745"/>
    <w:rsid w:val="00D2271E"/>
    <w:rsid w:val="00D2350B"/>
    <w:rsid w:val="00D25860"/>
    <w:rsid w:val="00D31E29"/>
    <w:rsid w:val="00D32BFB"/>
    <w:rsid w:val="00D35825"/>
    <w:rsid w:val="00D45E61"/>
    <w:rsid w:val="00D5172C"/>
    <w:rsid w:val="00D57989"/>
    <w:rsid w:val="00D643D1"/>
    <w:rsid w:val="00D64401"/>
    <w:rsid w:val="00D67B44"/>
    <w:rsid w:val="00D704FC"/>
    <w:rsid w:val="00D70C29"/>
    <w:rsid w:val="00D777E0"/>
    <w:rsid w:val="00D817E5"/>
    <w:rsid w:val="00D90002"/>
    <w:rsid w:val="00D918DA"/>
    <w:rsid w:val="00D94D3A"/>
    <w:rsid w:val="00DB2B0D"/>
    <w:rsid w:val="00DC45EA"/>
    <w:rsid w:val="00DC631A"/>
    <w:rsid w:val="00DD5E41"/>
    <w:rsid w:val="00DD6A18"/>
    <w:rsid w:val="00DD7A44"/>
    <w:rsid w:val="00DD7DE2"/>
    <w:rsid w:val="00DE0A22"/>
    <w:rsid w:val="00DE313C"/>
    <w:rsid w:val="00DE51F6"/>
    <w:rsid w:val="00DE5744"/>
    <w:rsid w:val="00E0715D"/>
    <w:rsid w:val="00E263CE"/>
    <w:rsid w:val="00E311F4"/>
    <w:rsid w:val="00E350B1"/>
    <w:rsid w:val="00E40EA7"/>
    <w:rsid w:val="00E4578E"/>
    <w:rsid w:val="00E51A5C"/>
    <w:rsid w:val="00E5741A"/>
    <w:rsid w:val="00E6457C"/>
    <w:rsid w:val="00E66BB1"/>
    <w:rsid w:val="00E7624F"/>
    <w:rsid w:val="00E7702B"/>
    <w:rsid w:val="00E822A3"/>
    <w:rsid w:val="00E914B1"/>
    <w:rsid w:val="00E975BE"/>
    <w:rsid w:val="00EC5D4A"/>
    <w:rsid w:val="00EC66F2"/>
    <w:rsid w:val="00ED3A94"/>
    <w:rsid w:val="00ED6DA9"/>
    <w:rsid w:val="00EE0166"/>
    <w:rsid w:val="00EF3E4D"/>
    <w:rsid w:val="00F05864"/>
    <w:rsid w:val="00F1560D"/>
    <w:rsid w:val="00F26DDB"/>
    <w:rsid w:val="00F57561"/>
    <w:rsid w:val="00F662AF"/>
    <w:rsid w:val="00F87160"/>
    <w:rsid w:val="00FA03C8"/>
    <w:rsid w:val="00FA4CC0"/>
    <w:rsid w:val="00FB4B24"/>
    <w:rsid w:val="00FC17D5"/>
    <w:rsid w:val="00FD616A"/>
    <w:rsid w:val="00FF06A0"/>
    <w:rsid w:val="00FF2D38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3404D"/>
  <w15:docId w15:val="{69EB4483-939B-40C4-B0B0-B8AC181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3D5"/>
    <w:pPr>
      <w:spacing w:after="120" w:line="276" w:lineRule="auto"/>
      <w:jc w:val="both"/>
    </w:pPr>
    <w:rPr>
      <w:rFonts w:asciiTheme="minorHAnsi" w:hAnsiTheme="minorHAnsi"/>
      <w:sz w:val="24"/>
      <w:szCs w:val="24"/>
    </w:rPr>
  </w:style>
  <w:style w:type="paragraph" w:styleId="Cmsor1">
    <w:name w:val="heading 1"/>
    <w:basedOn w:val="Norml"/>
    <w:next w:val="Norml"/>
    <w:qFormat/>
    <w:rsid w:val="00DD5E41"/>
    <w:pPr>
      <w:keepNext/>
      <w:numPr>
        <w:numId w:val="29"/>
      </w:numPr>
      <w:spacing w:after="240"/>
      <w:ind w:left="714" w:hanging="357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04D95"/>
    <w:pPr>
      <w:keepNext/>
      <w:numPr>
        <w:ilvl w:val="1"/>
        <w:numId w:val="24"/>
      </w:numPr>
      <w:spacing w:before="360" w:after="240"/>
      <w:ind w:left="578" w:hanging="578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D3479"/>
    <w:pPr>
      <w:keepNext/>
      <w:numPr>
        <w:ilvl w:val="2"/>
        <w:numId w:val="24"/>
      </w:numPr>
      <w:spacing w:before="360" w:after="240"/>
      <w:outlineLvl w:val="2"/>
    </w:pPr>
    <w:rPr>
      <w:rFonts w:asciiTheme="majorHAnsi" w:hAnsiTheme="majorHAnsi" w:cs="Arial"/>
      <w:bCs/>
      <w:sz w:val="28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49BD"/>
    <w:pPr>
      <w:keepNext/>
      <w:numPr>
        <w:ilvl w:val="3"/>
        <w:numId w:val="24"/>
      </w:numPr>
      <w:spacing w:before="360" w:after="240"/>
      <w:outlineLvl w:val="3"/>
    </w:pPr>
    <w:rPr>
      <w:rFonts w:asciiTheme="majorHAnsi" w:eastAsiaTheme="minorEastAsia" w:hAnsiTheme="majorHAnsi" w:cstheme="minorBidi"/>
      <w:bCs/>
      <w:sz w:val="26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2D11"/>
    <w:pPr>
      <w:numPr>
        <w:ilvl w:val="4"/>
        <w:numId w:val="24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2D11"/>
    <w:pPr>
      <w:numPr>
        <w:ilvl w:val="5"/>
        <w:numId w:val="24"/>
      </w:num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2D11"/>
    <w:pPr>
      <w:numPr>
        <w:ilvl w:val="6"/>
        <w:numId w:val="24"/>
      </w:numPr>
      <w:spacing w:before="240" w:after="60"/>
      <w:outlineLvl w:val="6"/>
    </w:pPr>
    <w:rPr>
      <w:rFonts w:eastAsiaTheme="minorEastAsia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2D11"/>
    <w:pPr>
      <w:numPr>
        <w:ilvl w:val="7"/>
        <w:numId w:val="24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2D1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F1574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35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C5641"/>
    <w:rPr>
      <w:color w:val="0000FF"/>
      <w:u w:val="single"/>
    </w:rPr>
  </w:style>
  <w:style w:type="paragraph" w:styleId="Lbjegyzetszveg">
    <w:name w:val="footnote text"/>
    <w:basedOn w:val="Norml"/>
    <w:semiHidden/>
    <w:rsid w:val="005247BB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247BB"/>
    <w:rPr>
      <w:vertAlign w:val="superscript"/>
    </w:rPr>
  </w:style>
  <w:style w:type="paragraph" w:styleId="TJ2">
    <w:name w:val="toc 2"/>
    <w:basedOn w:val="Norml"/>
    <w:next w:val="Norml"/>
    <w:autoRedefine/>
    <w:uiPriority w:val="39"/>
    <w:rsid w:val="00B06A10"/>
    <w:pPr>
      <w:ind w:left="240"/>
    </w:pPr>
  </w:style>
  <w:style w:type="paragraph" w:styleId="TJ1">
    <w:name w:val="toc 1"/>
    <w:basedOn w:val="Norml"/>
    <w:next w:val="Norml"/>
    <w:autoRedefine/>
    <w:uiPriority w:val="39"/>
    <w:rsid w:val="00B06A10"/>
  </w:style>
  <w:style w:type="paragraph" w:styleId="TJ3">
    <w:name w:val="toc 3"/>
    <w:basedOn w:val="Norml"/>
    <w:next w:val="Norml"/>
    <w:autoRedefine/>
    <w:uiPriority w:val="39"/>
    <w:rsid w:val="00B06A10"/>
    <w:pPr>
      <w:ind w:left="480"/>
    </w:pPr>
  </w:style>
  <w:style w:type="paragraph" w:styleId="llb">
    <w:name w:val="footer"/>
    <w:basedOn w:val="Norml"/>
    <w:rsid w:val="00087A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7AF0"/>
  </w:style>
  <w:style w:type="paragraph" w:styleId="lfej">
    <w:name w:val="header"/>
    <w:basedOn w:val="Norml"/>
    <w:rsid w:val="00087AF0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DD7A44"/>
    <w:pPr>
      <w:spacing w:before="120"/>
    </w:pPr>
    <w:rPr>
      <w:b/>
      <w:bCs/>
      <w:szCs w:val="20"/>
    </w:rPr>
  </w:style>
  <w:style w:type="paragraph" w:styleId="brajegyzk">
    <w:name w:val="table of figures"/>
    <w:basedOn w:val="Norml"/>
    <w:next w:val="Norml"/>
    <w:semiHidden/>
    <w:rsid w:val="00333144"/>
  </w:style>
  <w:style w:type="paragraph" w:customStyle="1" w:styleId="References">
    <w:name w:val="References"/>
    <w:basedOn w:val="Norml"/>
    <w:link w:val="ReferencesChar"/>
    <w:rsid w:val="00B447CB"/>
    <w:pPr>
      <w:numPr>
        <w:numId w:val="16"/>
      </w:numPr>
      <w:tabs>
        <w:tab w:val="left" w:pos="7088"/>
      </w:tabs>
    </w:pPr>
    <w:rPr>
      <w:sz w:val="18"/>
      <w:lang w:val="en-US" w:eastAsia="en-US"/>
    </w:rPr>
  </w:style>
  <w:style w:type="paragraph" w:customStyle="1" w:styleId="Stlus4">
    <w:name w:val="Stílus4"/>
    <w:basedOn w:val="Norml"/>
    <w:next w:val="Norml"/>
    <w:qFormat/>
    <w:rsid w:val="003D5424"/>
    <w:rPr>
      <w:rFonts w:ascii="Arial" w:hAnsi="Arial"/>
      <w:sz w:val="26"/>
    </w:rPr>
  </w:style>
  <w:style w:type="paragraph" w:styleId="Buborkszveg">
    <w:name w:val="Balloon Text"/>
    <w:basedOn w:val="Norml"/>
    <w:link w:val="BuborkszvegChar"/>
    <w:rsid w:val="001909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09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C1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1E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1E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E5F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949BD"/>
    <w:rPr>
      <w:rFonts w:asciiTheme="majorHAnsi" w:eastAsiaTheme="minorEastAsia" w:hAnsiTheme="majorHAnsi" w:cstheme="minorBidi"/>
      <w:bCs/>
      <w:sz w:val="26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2D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2D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2D1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2D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2D11"/>
    <w:rPr>
      <w:rFonts w:asciiTheme="majorHAnsi" w:eastAsiaTheme="majorEastAsia" w:hAnsiTheme="majorHAnsi" w:cstheme="majorBidi"/>
      <w:sz w:val="22"/>
      <w:szCs w:val="22"/>
    </w:rPr>
  </w:style>
  <w:style w:type="paragraph" w:customStyle="1" w:styleId="ReferencesKUKG">
    <w:name w:val="References_KUKG"/>
    <w:basedOn w:val="References"/>
    <w:link w:val="ReferencesKUKGChar"/>
    <w:qFormat/>
    <w:rsid w:val="00AB30F7"/>
    <w:pPr>
      <w:numPr>
        <w:numId w:val="23"/>
      </w:numPr>
      <w:tabs>
        <w:tab w:val="left" w:pos="425"/>
      </w:tabs>
      <w:spacing w:before="120"/>
      <w:ind w:left="0" w:firstLine="57"/>
    </w:pPr>
    <w:rPr>
      <w:b/>
      <w:sz w:val="24"/>
      <w:lang w:val="hu-HU"/>
    </w:rPr>
  </w:style>
  <w:style w:type="numbering" w:customStyle="1" w:styleId="Stlus1">
    <w:name w:val="Stílus1"/>
    <w:uiPriority w:val="99"/>
    <w:rsid w:val="003A6832"/>
    <w:pPr>
      <w:numPr>
        <w:numId w:val="25"/>
      </w:numPr>
    </w:pPr>
  </w:style>
  <w:style w:type="character" w:customStyle="1" w:styleId="ReferencesChar">
    <w:name w:val="References Char"/>
    <w:basedOn w:val="Bekezdsalapbettpusa"/>
    <w:link w:val="References"/>
    <w:rsid w:val="00934F2B"/>
    <w:rPr>
      <w:sz w:val="18"/>
      <w:szCs w:val="24"/>
      <w:lang w:val="en-US" w:eastAsia="en-US"/>
    </w:rPr>
  </w:style>
  <w:style w:type="character" w:customStyle="1" w:styleId="ReferencesKUKGChar">
    <w:name w:val="References_KUKG Char"/>
    <w:basedOn w:val="ReferencesChar"/>
    <w:link w:val="ReferencesKUKG"/>
    <w:rsid w:val="00AB30F7"/>
    <w:rPr>
      <w:b/>
      <w:sz w:val="24"/>
      <w:szCs w:val="24"/>
      <w:lang w:val="en-US"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AD3479"/>
    <w:pPr>
      <w:numPr>
        <w:ilvl w:val="1"/>
      </w:numPr>
      <w:spacing w:after="160"/>
      <w:ind w:firstLine="340"/>
    </w:pPr>
    <w:rPr>
      <w:rFonts w:eastAsiaTheme="minorEastAsia" w:cstheme="minorBidi"/>
      <w:b/>
      <w:spacing w:val="15"/>
      <w:sz w:val="26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AD3479"/>
    <w:rPr>
      <w:rFonts w:asciiTheme="minorHAnsi" w:eastAsiaTheme="minorEastAsia" w:hAnsiTheme="minorHAnsi" w:cstheme="minorBidi"/>
      <w:b/>
      <w:spacing w:val="15"/>
      <w:sz w:val="26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5AD0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91E3-1B8D-49BD-B7B2-FE48A87F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Master's Thesis template</dc:title>
  <dc:creator>ST</dc:creator>
  <cp:lastModifiedBy>Tamás Soltész</cp:lastModifiedBy>
  <cp:revision>4</cp:revision>
  <cp:lastPrinted>2017-02-06T13:09:00Z</cp:lastPrinted>
  <dcterms:created xsi:type="dcterms:W3CDTF">2022-02-11T16:34:00Z</dcterms:created>
  <dcterms:modified xsi:type="dcterms:W3CDTF">2022-02-11T16:42:00Z</dcterms:modified>
</cp:coreProperties>
</file>